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48"/>
        <w:gridCol w:w="102"/>
        <w:gridCol w:w="1283"/>
        <w:gridCol w:w="898"/>
        <w:gridCol w:w="4361"/>
      </w:tblGrid>
      <w:tr w:rsidR="00DF0FA1" w:rsidRPr="004538C4" w:rsidTr="0038681B">
        <w:tc>
          <w:tcPr>
            <w:tcW w:w="1234" w:type="pct"/>
            <w:gridSpan w:val="2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Unit code and name:</w:t>
            </w:r>
          </w:p>
        </w:tc>
        <w:tc>
          <w:tcPr>
            <w:tcW w:w="3766" w:type="pct"/>
            <w:gridSpan w:val="4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1234" w:type="pct"/>
            <w:gridSpan w:val="2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Validation date:</w:t>
            </w:r>
          </w:p>
        </w:tc>
        <w:tc>
          <w:tcPr>
            <w:tcW w:w="3766" w:type="pct"/>
            <w:gridSpan w:val="4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A8D08D" w:themeFill="accent6" w:themeFillTint="99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No.</w:t>
            </w:r>
          </w:p>
        </w:tc>
        <w:tc>
          <w:tcPr>
            <w:tcW w:w="1379" w:type="pct"/>
            <w:gridSpan w:val="3"/>
            <w:shd w:val="clear" w:color="auto" w:fill="A8D08D" w:themeFill="accent6" w:themeFillTint="99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Discussion item</w:t>
            </w:r>
          </w:p>
        </w:tc>
        <w:tc>
          <w:tcPr>
            <w:tcW w:w="509" w:type="pct"/>
            <w:shd w:val="clear" w:color="auto" w:fill="A8D08D" w:themeFill="accent6" w:themeFillTint="99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Yes/No</w:t>
            </w:r>
          </w:p>
        </w:tc>
        <w:tc>
          <w:tcPr>
            <w:tcW w:w="2472" w:type="pct"/>
            <w:shd w:val="clear" w:color="auto" w:fill="A8D08D" w:themeFill="accent6" w:themeFillTint="99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You must justify your decision for each discussion item.</w:t>
            </w: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General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Purpose of validation activity is discussed.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Scope of validation process is discussed.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3: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Legal and ethical responsibilities of assessors are discussed.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4: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All relevant documentation is present at the validation session.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DF0FA1" w:rsidRDefault="00DF0FA1" w:rsidP="00DF0FA1">
            <w:pPr>
              <w:spacing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5: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All documents have been recorded for version control.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6: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Latest version of assessment materials is being validated.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The assessment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7: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The evidence requirements of the unit of competency are covered.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8: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The context and conditions of assessment specifically relate to the assessment conditions within the unit of competency.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lastRenderedPageBreak/>
              <w:t>Item 9: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The assessment activity is relevant to a number of different situations/contexts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10: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 xml:space="preserve">Assessment instruments </w:t>
            </w:r>
            <w:r w:rsidRPr="004538C4">
              <w:t>within the tool meet the required standards expected in the workplace.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11: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Instructions to the learner are clear, concise, and outline the evidence requirements.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12: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Written information is at the appropriate AQF level and grammatically correct.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13: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The level of difficulty is appropriate to the unit of competency.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14: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The unit of competency could potentially be combined with another unit of competency.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The assessor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15: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Assessor/marking guide instructions clearly identify standard decision-making rules and processes to ensure consistent decision-making outcomes.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16: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 xml:space="preserve">Benchmark responses in the assessor guide are </w:t>
            </w:r>
            <w:r w:rsidRPr="004538C4">
              <w:rPr>
                <w:rFonts w:cs="Arial"/>
              </w:rPr>
              <w:lastRenderedPageBreak/>
              <w:t xml:space="preserve">clear and sufficient to ensure a reliable assessment. 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17: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Recording mechanisms in assessment tool are clear and allow for sufficient information to be recorded (e.g., feedback)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The mapping matrix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18: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Assessment mapping matrix covers all competency standards within the designated unit.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19: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 xml:space="preserve">The assessment methods identified in the assessment mapping matrix are valid in gathering evidence for the specified competency standards. 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The principles of assessment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20a: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Valid: The overall assessment assesses all of the required skills and knowledge which could be replicated in a real workplace environment.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21a: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Reliable: The evidence provided by the learner can be interpreted consistently based on the assessor guide.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lastRenderedPageBreak/>
              <w:t>Item 22a: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Flexible: The assessment has the potential to cater for the learner’s individual needs.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22b: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Flexible: The range of assessment methods is suitable in measuring the learner’s performance.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23a: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Fair: Where appropriate, a reasonable adjustment could be applied to take into account the individual learner’s needs.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23b: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Fair: The assessment instructions are sufficient to fully inform the learner regarding their assessment.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The rules of evidence</w:t>
            </w: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24: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Valid: The assessor can be sure that the collected evidence accurately reflects the unit of competency and associated assessment requirements.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25: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Current: The assessor can be sure that the collected evidence represents competency in the present or in the very recent past.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lastRenderedPageBreak/>
              <w:t>Item 26: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 xml:space="preserve">Sufficient: The assessor can be sure that the learner will submit enough quality evidence to demonstrate competency. 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4160C8">
        <w:tc>
          <w:tcPr>
            <w:tcW w:w="640" w:type="pct"/>
            <w:shd w:val="clear" w:color="auto" w:fill="E2EFD9" w:themeFill="accent6" w:themeFillTint="33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Item 27:</w:t>
            </w:r>
          </w:p>
        </w:tc>
        <w:tc>
          <w:tcPr>
            <w:tcW w:w="1379" w:type="pct"/>
            <w:gridSpan w:val="3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  <w:r w:rsidRPr="004538C4">
              <w:rPr>
                <w:rFonts w:cs="Arial"/>
              </w:rPr>
              <w:t>Authentic: The assessor can be sure that the learner’s evidence is actually the learner’s own evidence.</w:t>
            </w:r>
          </w:p>
        </w:tc>
        <w:tc>
          <w:tcPr>
            <w:tcW w:w="509" w:type="pct"/>
            <w:vAlign w:val="center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72" w:type="pct"/>
          </w:tcPr>
          <w:p w:rsidR="00DF0FA1" w:rsidRPr="004538C4" w:rsidRDefault="00DF0FA1" w:rsidP="0038681B">
            <w:pPr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Issues identified:</w:t>
            </w:r>
          </w:p>
        </w:tc>
      </w:tr>
      <w:tr w:rsidR="00DF0FA1" w:rsidRPr="004538C4" w:rsidTr="00DF0FA1">
        <w:trPr>
          <w:trHeight w:val="1712"/>
        </w:trPr>
        <w:tc>
          <w:tcPr>
            <w:tcW w:w="5000" w:type="pct"/>
            <w:gridSpan w:val="6"/>
          </w:tcPr>
          <w:p w:rsidR="00DF0FA1" w:rsidRPr="004538C4" w:rsidRDefault="00DF0FA1" w:rsidP="0038681B">
            <w:pPr>
              <w:widowControl w:val="0"/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Recommendations for improvement:</w:t>
            </w:r>
          </w:p>
        </w:tc>
      </w:tr>
      <w:tr w:rsidR="00DF0FA1" w:rsidRPr="004538C4" w:rsidTr="0038681B">
        <w:trPr>
          <w:trHeight w:val="1675"/>
        </w:trPr>
        <w:tc>
          <w:tcPr>
            <w:tcW w:w="5000" w:type="pct"/>
            <w:gridSpan w:val="6"/>
          </w:tcPr>
          <w:p w:rsidR="00DF0FA1" w:rsidRPr="004538C4" w:rsidRDefault="00DF0FA1" w:rsidP="0038681B">
            <w:pPr>
              <w:widowControl w:val="0"/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Amendments made to the assessment tool:</w:t>
            </w:r>
          </w:p>
        </w:tc>
      </w:tr>
      <w:tr w:rsidR="00DF0FA1" w:rsidRPr="004538C4" w:rsidTr="0038681B">
        <w:trPr>
          <w:trHeight w:val="983"/>
        </w:trPr>
        <w:tc>
          <w:tcPr>
            <w:tcW w:w="5000" w:type="pct"/>
            <w:gridSpan w:val="6"/>
          </w:tcPr>
          <w:p w:rsidR="00DF0FA1" w:rsidRPr="004538C4" w:rsidRDefault="00DF0FA1" w:rsidP="0038681B">
            <w:pPr>
              <w:widowControl w:val="0"/>
              <w:spacing w:after="0" w:line="360" w:lineRule="auto"/>
              <w:rPr>
                <w:rFonts w:cs="Arial"/>
              </w:rPr>
            </w:pPr>
          </w:p>
        </w:tc>
      </w:tr>
      <w:tr w:rsidR="00DF0FA1" w:rsidRPr="004538C4" w:rsidTr="0038681B">
        <w:tc>
          <w:tcPr>
            <w:tcW w:w="5000" w:type="pct"/>
            <w:gridSpan w:val="6"/>
            <w:shd w:val="clear" w:color="auto" w:fill="A8D08D" w:themeFill="accent6" w:themeFillTint="99"/>
          </w:tcPr>
          <w:p w:rsidR="00DF0FA1" w:rsidRPr="004538C4" w:rsidRDefault="00DF0FA1" w:rsidP="0038681B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4538C4">
              <w:rPr>
                <w:rFonts w:cs="Arial"/>
                <w:b/>
              </w:rPr>
              <w:t>Administrative protocols:</w:t>
            </w:r>
          </w:p>
        </w:tc>
      </w:tr>
      <w:tr w:rsidR="00DF0FA1" w:rsidRPr="004538C4" w:rsidTr="00C853F7">
        <w:tc>
          <w:tcPr>
            <w:tcW w:w="1292" w:type="pct"/>
            <w:gridSpan w:val="3"/>
            <w:shd w:val="clear" w:color="auto" w:fill="E2EFD9" w:themeFill="accent6" w:themeFillTint="33"/>
            <w:vAlign w:val="center"/>
          </w:tcPr>
          <w:p w:rsidR="00DF0FA1" w:rsidRPr="004538C4" w:rsidRDefault="00DF0FA1" w:rsidP="0038681B">
            <w:pPr>
              <w:spacing w:after="0" w:line="360" w:lineRule="auto"/>
              <w:rPr>
                <w:b/>
              </w:rPr>
            </w:pPr>
            <w:r w:rsidRPr="004538C4">
              <w:rPr>
                <w:b/>
              </w:rPr>
              <w:t>How do these changes impact the Assessment Plan?</w:t>
            </w:r>
          </w:p>
        </w:tc>
        <w:tc>
          <w:tcPr>
            <w:tcW w:w="3708" w:type="pct"/>
            <w:gridSpan w:val="3"/>
          </w:tcPr>
          <w:p w:rsidR="00DF0FA1" w:rsidRPr="004538C4" w:rsidRDefault="00DF0FA1" w:rsidP="0038681B">
            <w:pPr>
              <w:spacing w:after="0" w:line="360" w:lineRule="auto"/>
            </w:pPr>
          </w:p>
        </w:tc>
      </w:tr>
      <w:tr w:rsidR="00DF0FA1" w:rsidRPr="004538C4" w:rsidTr="00C853F7">
        <w:tc>
          <w:tcPr>
            <w:tcW w:w="1292" w:type="pct"/>
            <w:gridSpan w:val="3"/>
            <w:shd w:val="clear" w:color="auto" w:fill="E2EFD9" w:themeFill="accent6" w:themeFillTint="33"/>
            <w:vAlign w:val="center"/>
          </w:tcPr>
          <w:p w:rsidR="00DF0FA1" w:rsidRPr="004538C4" w:rsidRDefault="00DF0FA1" w:rsidP="0038681B">
            <w:pPr>
              <w:spacing w:after="0" w:line="360" w:lineRule="auto"/>
              <w:rPr>
                <w:b/>
              </w:rPr>
            </w:pPr>
            <w:r w:rsidRPr="004538C4">
              <w:rPr>
                <w:b/>
              </w:rPr>
              <w:t>Feedback on the overall trial process:</w:t>
            </w:r>
          </w:p>
        </w:tc>
        <w:tc>
          <w:tcPr>
            <w:tcW w:w="3708" w:type="pct"/>
            <w:gridSpan w:val="3"/>
          </w:tcPr>
          <w:p w:rsidR="00DF0FA1" w:rsidRPr="004538C4" w:rsidRDefault="00DF0FA1" w:rsidP="0038681B">
            <w:pPr>
              <w:spacing w:after="0" w:line="360" w:lineRule="auto"/>
            </w:pPr>
          </w:p>
        </w:tc>
      </w:tr>
      <w:tr w:rsidR="00DF0FA1" w:rsidRPr="004538C4" w:rsidTr="00C853F7">
        <w:tc>
          <w:tcPr>
            <w:tcW w:w="1292" w:type="pct"/>
            <w:gridSpan w:val="3"/>
            <w:shd w:val="clear" w:color="auto" w:fill="E2EFD9" w:themeFill="accent6" w:themeFillTint="33"/>
            <w:vAlign w:val="center"/>
          </w:tcPr>
          <w:p w:rsidR="00DF0FA1" w:rsidRPr="004538C4" w:rsidRDefault="00DF0FA1" w:rsidP="0038681B">
            <w:pPr>
              <w:spacing w:after="0" w:line="360" w:lineRule="auto"/>
              <w:rPr>
                <w:b/>
              </w:rPr>
            </w:pPr>
            <w:r w:rsidRPr="004538C4">
              <w:rPr>
                <w:b/>
              </w:rPr>
              <w:t>File naming protocol of assessment tool:</w:t>
            </w:r>
          </w:p>
        </w:tc>
        <w:tc>
          <w:tcPr>
            <w:tcW w:w="3708" w:type="pct"/>
            <w:gridSpan w:val="3"/>
          </w:tcPr>
          <w:p w:rsidR="00DF0FA1" w:rsidRPr="004538C4" w:rsidRDefault="00DF0FA1" w:rsidP="0038681B">
            <w:pPr>
              <w:spacing w:after="0" w:line="360" w:lineRule="auto"/>
            </w:pPr>
          </w:p>
        </w:tc>
      </w:tr>
      <w:tr w:rsidR="00DF0FA1" w:rsidRPr="004538C4" w:rsidTr="00C853F7">
        <w:tc>
          <w:tcPr>
            <w:tcW w:w="1292" w:type="pct"/>
            <w:gridSpan w:val="3"/>
            <w:shd w:val="clear" w:color="auto" w:fill="E2EFD9" w:themeFill="accent6" w:themeFillTint="33"/>
            <w:vAlign w:val="center"/>
          </w:tcPr>
          <w:p w:rsidR="00DF0FA1" w:rsidRPr="004538C4" w:rsidRDefault="00DF0FA1" w:rsidP="0038681B">
            <w:pPr>
              <w:spacing w:after="0" w:line="360" w:lineRule="auto"/>
              <w:rPr>
                <w:b/>
              </w:rPr>
            </w:pPr>
            <w:bookmarkStart w:id="0" w:name="_GoBack"/>
            <w:r w:rsidRPr="004538C4">
              <w:rPr>
                <w:b/>
              </w:rPr>
              <w:t>Reviewer’s name:</w:t>
            </w:r>
          </w:p>
        </w:tc>
        <w:tc>
          <w:tcPr>
            <w:tcW w:w="3708" w:type="pct"/>
            <w:gridSpan w:val="3"/>
          </w:tcPr>
          <w:p w:rsidR="00DF0FA1" w:rsidRPr="004538C4" w:rsidRDefault="00DF0FA1" w:rsidP="0038681B">
            <w:pPr>
              <w:spacing w:after="0" w:line="360" w:lineRule="auto"/>
            </w:pPr>
          </w:p>
        </w:tc>
      </w:tr>
      <w:bookmarkEnd w:id="0"/>
    </w:tbl>
    <w:p w:rsidR="00C366B6" w:rsidRDefault="00C366B6" w:rsidP="006E281C"/>
    <w:sectPr w:rsidR="00C366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11" w:rsidRDefault="00C32E11" w:rsidP="00C32E11">
      <w:pPr>
        <w:spacing w:after="0" w:line="240" w:lineRule="auto"/>
      </w:pPr>
      <w:r>
        <w:separator/>
      </w:r>
    </w:p>
  </w:endnote>
  <w:endnote w:type="continuationSeparator" w:id="0">
    <w:p w:rsidR="00C32E11" w:rsidRDefault="00C32E11" w:rsidP="00C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7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E11" w:rsidRDefault="00C32E11">
        <w:pPr>
          <w:pStyle w:val="Footer"/>
          <w:jc w:val="right"/>
        </w:pPr>
        <w:r>
          <w:t xml:space="preserve">Assessment </w:t>
        </w:r>
        <w:r w:rsidR="009442A6">
          <w:t>Validation Checklist</w:t>
        </w:r>
        <w:r>
          <w:tab/>
          <w:t>V</w:t>
        </w:r>
        <w:r w:rsidR="000739C7">
          <w:t xml:space="preserve">ersion </w:t>
        </w:r>
        <w:r>
          <w:t>1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2E11" w:rsidRDefault="00C3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11" w:rsidRDefault="00C32E11" w:rsidP="00C32E11">
      <w:pPr>
        <w:spacing w:after="0" w:line="240" w:lineRule="auto"/>
      </w:pPr>
      <w:r>
        <w:separator/>
      </w:r>
    </w:p>
  </w:footnote>
  <w:footnote w:type="continuationSeparator" w:id="0">
    <w:p w:rsidR="00C32E11" w:rsidRDefault="00C32E11" w:rsidP="00C3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C7" w:rsidRPr="00EB1D74" w:rsidRDefault="000739C7" w:rsidP="000739C7">
    <w:pPr>
      <w:pStyle w:val="Header"/>
      <w:rPr>
        <w:b/>
        <w:sz w:val="28"/>
        <w:szCs w:val="28"/>
      </w:rPr>
    </w:pPr>
    <w:r w:rsidRPr="00EB1D74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2D97E892" wp14:editId="37C1E32F">
          <wp:simplePos x="0" y="0"/>
          <wp:positionH relativeFrom="margin">
            <wp:align>right</wp:align>
          </wp:positionH>
          <wp:positionV relativeFrom="paragraph">
            <wp:posOffset>-58107</wp:posOffset>
          </wp:positionV>
          <wp:extent cx="738510" cy="522770"/>
          <wp:effectExtent l="0" t="0" r="4445" b="0"/>
          <wp:wrapThrough wrapText="bothSides">
            <wp:wrapPolygon edited="0">
              <wp:start x="0" y="0"/>
              <wp:lineTo x="0" y="20471"/>
              <wp:lineTo x="21173" y="20471"/>
              <wp:lineTo x="21173" y="0"/>
              <wp:lineTo x="0" y="0"/>
            </wp:wrapPolygon>
          </wp:wrapThrough>
          <wp:docPr id="1" name="Picture 1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10" cy="52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ASSESSMENT VALIDATION CHECKLIST</w:t>
    </w:r>
  </w:p>
  <w:p w:rsidR="000739C7" w:rsidRDefault="000739C7" w:rsidP="000739C7">
    <w:pPr>
      <w:pStyle w:val="Header"/>
    </w:pPr>
  </w:p>
  <w:p w:rsidR="006474F3" w:rsidRDefault="0064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401"/>
    <w:multiLevelType w:val="hybridMultilevel"/>
    <w:tmpl w:val="64C2E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11"/>
    <w:rsid w:val="00035104"/>
    <w:rsid w:val="000739C7"/>
    <w:rsid w:val="000C0F5C"/>
    <w:rsid w:val="00380C56"/>
    <w:rsid w:val="004160C8"/>
    <w:rsid w:val="004D003B"/>
    <w:rsid w:val="006474F3"/>
    <w:rsid w:val="006E281C"/>
    <w:rsid w:val="009442A6"/>
    <w:rsid w:val="00C32E11"/>
    <w:rsid w:val="00C366B6"/>
    <w:rsid w:val="00C853F7"/>
    <w:rsid w:val="00D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5A1E"/>
  <w15:chartTrackingRefBased/>
  <w15:docId w15:val="{D50CCA0A-3FDC-4341-8B6A-33AEBEC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11"/>
  </w:style>
  <w:style w:type="paragraph" w:styleId="Footer">
    <w:name w:val="footer"/>
    <w:basedOn w:val="Normal"/>
    <w:link w:val="FooterChar"/>
    <w:uiPriority w:val="99"/>
    <w:unhideWhenUsed/>
    <w:rsid w:val="00C3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11"/>
  </w:style>
  <w:style w:type="paragraph" w:styleId="ListParagraph">
    <w:name w:val="List Paragraph"/>
    <w:basedOn w:val="Normal"/>
    <w:link w:val="ListParagraphChar"/>
    <w:uiPriority w:val="34"/>
    <w:qFormat/>
    <w:rsid w:val="00DF0FA1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Walsh</dc:creator>
  <cp:keywords/>
  <dc:description/>
  <cp:lastModifiedBy>Assessor</cp:lastModifiedBy>
  <cp:revision>11</cp:revision>
  <dcterms:created xsi:type="dcterms:W3CDTF">2017-08-01T05:03:00Z</dcterms:created>
  <dcterms:modified xsi:type="dcterms:W3CDTF">2017-08-04T02:50:00Z</dcterms:modified>
</cp:coreProperties>
</file>