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1085"/>
        <w:gridCol w:w="5466"/>
        <w:gridCol w:w="63"/>
      </w:tblGrid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</w:tcPr>
          <w:p w:rsidR="00216038" w:rsidRPr="00216038" w:rsidRDefault="00216038" w:rsidP="00216038">
            <w:pPr>
              <w:spacing w:after="0" w:line="360" w:lineRule="auto"/>
              <w:jc w:val="right"/>
              <w:rPr>
                <w:rFonts w:ascii="Nirmala UI" w:hAnsi="Nirmala UI" w:cs="Nirmala UI"/>
                <w:b/>
                <w:color w:val="FFFFFF" w:themeColor="background1"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</w:rPr>
              <w:t>Assessment Creator Name</w:t>
            </w: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:</w:t>
            </w:r>
          </w:p>
        </w:tc>
        <w:tc>
          <w:tcPr>
            <w:tcW w:w="655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</w:tcPr>
          <w:p w:rsidR="00216038" w:rsidRPr="00216038" w:rsidRDefault="00216038" w:rsidP="00216038">
            <w:pPr>
              <w:spacing w:after="0" w:line="360" w:lineRule="auto"/>
              <w:jc w:val="right"/>
              <w:rPr>
                <w:rFonts w:ascii="Nirmala UI" w:hAnsi="Nirmala UI" w:cs="Nirmala UI"/>
                <w:b/>
                <w:color w:val="FFFFFF" w:themeColor="background1"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</w:rPr>
              <w:t>Reviewer Name</w:t>
            </w: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:</w:t>
            </w:r>
          </w:p>
        </w:tc>
        <w:tc>
          <w:tcPr>
            <w:tcW w:w="655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216038">
            <w:pPr>
              <w:spacing w:after="0" w:line="360" w:lineRule="auto"/>
              <w:jc w:val="right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Unit Code and Title:</w:t>
            </w:r>
          </w:p>
        </w:tc>
        <w:tc>
          <w:tcPr>
            <w:tcW w:w="655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 w:themeFill="accent2"/>
            <w:vAlign w:val="center"/>
          </w:tcPr>
          <w:p w:rsidR="00216038" w:rsidRPr="00216038" w:rsidRDefault="00216038" w:rsidP="00EF5132">
            <w:pPr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216038">
            <w:pPr>
              <w:spacing w:after="0" w:line="360" w:lineRule="auto"/>
              <w:jc w:val="right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Assessment Instrument 1:</w:t>
            </w:r>
          </w:p>
        </w:tc>
        <w:tc>
          <w:tcPr>
            <w:tcW w:w="655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 w:themeFill="accent2"/>
            <w:vAlign w:val="center"/>
          </w:tcPr>
          <w:p w:rsidR="00216038" w:rsidRPr="00216038" w:rsidRDefault="00216038" w:rsidP="00EF5132">
            <w:pPr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216038">
            <w:pPr>
              <w:spacing w:after="0" w:line="360" w:lineRule="auto"/>
              <w:jc w:val="right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Assessment Instrument 2:</w:t>
            </w:r>
          </w:p>
        </w:tc>
        <w:tc>
          <w:tcPr>
            <w:tcW w:w="655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 w:themeFill="accent2"/>
            <w:vAlign w:val="center"/>
          </w:tcPr>
          <w:p w:rsidR="00216038" w:rsidRPr="00216038" w:rsidRDefault="00216038" w:rsidP="00EF5132">
            <w:pPr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</w:p>
        </w:tc>
      </w:tr>
      <w:tr w:rsidR="00216038" w:rsidRPr="00216038" w:rsidTr="00414300">
        <w:trPr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Discussion item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Yes/No</w:t>
            </w:r>
          </w:p>
        </w:tc>
        <w:tc>
          <w:tcPr>
            <w:tcW w:w="552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216038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bookmarkStart w:id="0" w:name="_GoBack"/>
            <w:bookmarkEnd w:id="0"/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 xml:space="preserve">Comments required </w:t>
            </w: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96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tabs>
                <w:tab w:val="left" w:pos="8100"/>
              </w:tabs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Review the assessment tools</w:t>
            </w: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The assessment tasks addressed the competency standards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The assessment conditions were addressed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The assessment tools addressed workplace requirements 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The assessment tool met the individual’s needs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The assessor guide contained clear instructions on how to administer and use the assessment tools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The assessor guide contained clear decision-making rules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Benchmark responses in the assessor guide were sufficient in ensuring a reliable assessment.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lastRenderedPageBreak/>
              <w:t>The mapping matrix covered the relevant competency standards in each unit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96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Review the principles of assessment</w:t>
            </w: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Valid: The assessment assesses the relevant competency standards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Reliable: The evidence requirements will allow the assessor to make consistent outcome decisions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Flexible: The assessment has the potential to cater for individual needs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Flexible: The range of assessment methods is suitable in measuring individual performance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Fair: A reasonable adjustment could be applied to </w:t>
            </w:r>
            <w:proofErr w:type="gramStart"/>
            <w:r w:rsidRPr="00216038">
              <w:rPr>
                <w:rFonts w:ascii="Nirmala UI" w:hAnsi="Nirmala UI" w:cs="Nirmala UI"/>
                <w:color w:val="FFFFFF" w:themeColor="background1"/>
              </w:rPr>
              <w:t>take into account</w:t>
            </w:r>
            <w:proofErr w:type="gramEnd"/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 individual needs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Fair: The assessment instructions are sufficient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96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jc w:val="center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Review the rules of evidence</w:t>
            </w: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Valid: The collected evidence accurately reflects the unit of competency and assessment requirements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lastRenderedPageBreak/>
              <w:t>Current: The collected evidence is from the present or very recent past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Sufficient: The quality and quantity of the evidence is sufficient in demonstrating competency 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Authentic: The collected evidence belongs to the individual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96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jc w:val="center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Trial the assessment instruments</w:t>
            </w: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The assessment process was clear and concise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The evidence requirements were explained in the assessment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The assessment tasks were relevant to the work environment 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 xml:space="preserve">The content in the assessments addressed relevant competency standards 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The assessment tasks addressed the assessment requirements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96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jc w:val="center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b/>
                <w:color w:val="FFFFFF" w:themeColor="background1"/>
              </w:rPr>
              <w:t>Trial findings:</w:t>
            </w: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Issues identified: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t>Recommendations for improvement: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216038" w:rsidRPr="00216038" w:rsidTr="00414300">
        <w:trPr>
          <w:gridAfter w:val="1"/>
          <w:wAfter w:w="63" w:type="dxa"/>
          <w:cantSplit/>
        </w:trPr>
        <w:tc>
          <w:tcPr>
            <w:tcW w:w="31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</w:rPr>
            </w:pPr>
            <w:r w:rsidRPr="00216038">
              <w:rPr>
                <w:rFonts w:ascii="Nirmala UI" w:hAnsi="Nirmala UI" w:cs="Nirmala UI"/>
                <w:color w:val="FFFFFF" w:themeColor="background1"/>
              </w:rPr>
              <w:lastRenderedPageBreak/>
              <w:t>Amendments made to the assessment tool:</w:t>
            </w:r>
          </w:p>
        </w:tc>
        <w:tc>
          <w:tcPr>
            <w:tcW w:w="10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54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16038" w:rsidRPr="00216038" w:rsidRDefault="00216038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</w:tbl>
    <w:p w:rsidR="00D041C6" w:rsidRPr="00216038" w:rsidRDefault="00414300">
      <w:pPr>
        <w:rPr>
          <w:rFonts w:ascii="Nirmala UI" w:hAnsi="Nirmala UI" w:cs="Nirmala UI"/>
        </w:rPr>
      </w:pPr>
    </w:p>
    <w:sectPr w:rsidR="00D041C6" w:rsidRPr="00216038" w:rsidSect="00216038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38" w:rsidRDefault="00216038" w:rsidP="00216038">
      <w:pPr>
        <w:spacing w:after="0" w:line="240" w:lineRule="auto"/>
      </w:pPr>
      <w:r>
        <w:separator/>
      </w:r>
    </w:p>
  </w:endnote>
  <w:endnote w:type="continuationSeparator" w:id="0">
    <w:p w:rsidR="00216038" w:rsidRDefault="00216038" w:rsidP="002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38" w:rsidRDefault="00216038">
    <w:pPr>
      <w:pStyle w:val="Footer"/>
    </w:pPr>
    <w:r>
      <w:t xml:space="preserve">Review and Trial Findings Template </w:t>
    </w:r>
    <w: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38" w:rsidRDefault="00216038" w:rsidP="00216038">
      <w:pPr>
        <w:spacing w:after="0" w:line="240" w:lineRule="auto"/>
      </w:pPr>
      <w:r>
        <w:separator/>
      </w:r>
    </w:p>
  </w:footnote>
  <w:footnote w:type="continuationSeparator" w:id="0">
    <w:p w:rsidR="00216038" w:rsidRDefault="00216038" w:rsidP="002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38" w:rsidRPr="00216038" w:rsidRDefault="00216038">
    <w:pPr>
      <w:pStyle w:val="Header"/>
      <w:rPr>
        <w:rFonts w:ascii="Nirmala UI" w:hAnsi="Nirmala UI" w:cs="Nirmala UI"/>
        <w:b/>
        <w:sz w:val="28"/>
      </w:rPr>
    </w:pPr>
    <w:r>
      <w:rPr>
        <w:rFonts w:ascii="Nirmala UI" w:hAnsi="Nirmala UI" w:cs="Nirmala UI"/>
        <w:noProof/>
      </w:rPr>
      <w:drawing>
        <wp:anchor distT="0" distB="0" distL="114300" distR="114300" simplePos="0" relativeHeight="251658240" behindDoc="0" locked="0" layoutInCell="1" allowOverlap="1" wp14:anchorId="13FB5F3F" wp14:editId="2D81A351">
          <wp:simplePos x="0" y="0"/>
          <wp:positionH relativeFrom="column">
            <wp:posOffset>5905500</wp:posOffset>
          </wp:positionH>
          <wp:positionV relativeFrom="paragraph">
            <wp:posOffset>-344805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Nirmala UI" w:hAnsi="Nirmala UI" w:cs="Nirmala UI"/>
        <w:b/>
        <w:sz w:val="28"/>
      </w:rPr>
      <w:t>Review and Trial Findings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38"/>
    <w:rsid w:val="00216038"/>
    <w:rsid w:val="00234107"/>
    <w:rsid w:val="002D2E11"/>
    <w:rsid w:val="00414300"/>
    <w:rsid w:val="005E790C"/>
    <w:rsid w:val="006F2567"/>
    <w:rsid w:val="00A65BA2"/>
    <w:rsid w:val="00AD48D5"/>
    <w:rsid w:val="00D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E532"/>
  <w15:chartTrackingRefBased/>
  <w15:docId w15:val="{8B613A42-6448-4FC8-AD3B-3F6D5E6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0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38"/>
  </w:style>
  <w:style w:type="paragraph" w:styleId="Footer">
    <w:name w:val="footer"/>
    <w:basedOn w:val="Normal"/>
    <w:link w:val="FooterChar"/>
    <w:uiPriority w:val="99"/>
    <w:unhideWhenUsed/>
    <w:rsid w:val="0021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99"/>
      </a:accent1>
      <a:accent2>
        <a:srgbClr val="E8D4F8"/>
      </a:accent2>
      <a:accent3>
        <a:srgbClr val="54BD3B"/>
      </a:accent3>
      <a:accent4>
        <a:srgbClr val="557FB1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Tubby</dc:creator>
  <cp:keywords/>
  <dc:description/>
  <cp:lastModifiedBy>Michael Tubby</cp:lastModifiedBy>
  <cp:revision>3</cp:revision>
  <dcterms:created xsi:type="dcterms:W3CDTF">2018-10-28T04:42:00Z</dcterms:created>
  <dcterms:modified xsi:type="dcterms:W3CDTF">2018-10-28T04:52:00Z</dcterms:modified>
</cp:coreProperties>
</file>