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01"/>
        <w:gridCol w:w="6885"/>
      </w:tblGrid>
      <w:tr w:rsidR="00146C29" w:rsidRPr="00895B15" w:rsidTr="00A0314B">
        <w:trPr>
          <w:cantSplit/>
          <w:trHeight w:val="545"/>
          <w:jc w:val="center"/>
        </w:trPr>
        <w:tc>
          <w:tcPr>
            <w:tcW w:w="1446" w:type="pct"/>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Unit of competency</w:t>
            </w:r>
          </w:p>
        </w:tc>
        <w:tc>
          <w:tcPr>
            <w:tcW w:w="3554" w:type="pct"/>
            <w:tcBorders>
              <w:top w:val="single" w:sz="24" w:space="0" w:color="FFFFFF" w:themeColor="background1"/>
              <w:bottom w:val="single" w:sz="24" w:space="0" w:color="98FF98" w:themeColor="accent2"/>
              <w:right w:val="single" w:sz="24" w:space="0" w:color="FFFFFF" w:themeColor="background1"/>
            </w:tcBorders>
            <w:shd w:val="clear" w:color="auto" w:fill="F2F2F2" w:themeFill="background1" w:themeFillShade="F2"/>
          </w:tcPr>
          <w:p w:rsidR="00146C29" w:rsidRPr="00F61904" w:rsidRDefault="00895B15" w:rsidP="008E1E43">
            <w:pPr>
              <w:tabs>
                <w:tab w:val="left" w:pos="2595"/>
              </w:tabs>
              <w:spacing w:before="240" w:line="360" w:lineRule="auto"/>
              <w:rPr>
                <w:rFonts w:ascii="Nirmala UI" w:hAnsi="Nirmala UI" w:cs="Nirmala UI"/>
              </w:rPr>
            </w:pPr>
            <w:r w:rsidRPr="00F61904">
              <w:rPr>
                <w:rFonts w:ascii="Nirmala UI" w:hAnsi="Nirmala UI" w:cs="Nirmala UI"/>
              </w:rPr>
              <w:t>CUAPPR201 Make simple creative work</w:t>
            </w:r>
          </w:p>
        </w:tc>
      </w:tr>
      <w:tr w:rsidR="00146C29" w:rsidRPr="00895B15" w:rsidTr="00A0314B">
        <w:trPr>
          <w:cantSplit/>
          <w:trHeight w:val="545"/>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bCs/>
                <w:color w:val="FFFFFF" w:themeColor="background1"/>
              </w:rPr>
              <w:t>Assessor name</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rPr>
            </w:pPr>
          </w:p>
        </w:tc>
      </w:tr>
      <w:tr w:rsidR="00146C29" w:rsidRPr="00895B15" w:rsidTr="00A0314B">
        <w:trPr>
          <w:cantSplit/>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bCs/>
                <w:color w:val="FFFFFF" w:themeColor="background1"/>
              </w:rPr>
              <w:t>Location of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bCs/>
              </w:rPr>
            </w:pPr>
          </w:p>
        </w:tc>
      </w:tr>
      <w:tr w:rsidR="00146C29" w:rsidRPr="00895B15" w:rsidTr="00A0314B">
        <w:trPr>
          <w:cantSplit/>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Date of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bCs/>
              </w:rPr>
            </w:pPr>
          </w:p>
        </w:tc>
      </w:tr>
      <w:tr w:rsidR="00146C29" w:rsidRPr="00895B15" w:rsidTr="00A0314B">
        <w:trPr>
          <w:cantSplit/>
          <w:trHeight w:val="1207"/>
          <w:jc w:val="center"/>
        </w:trPr>
        <w:tc>
          <w:tcPr>
            <w:tcW w:w="1446" w:type="pct"/>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Purpose of assessment</w:t>
            </w:r>
          </w:p>
        </w:tc>
        <w:tc>
          <w:tcPr>
            <w:tcW w:w="3554" w:type="pct"/>
            <w:tcBorders>
              <w:top w:val="single" w:sz="24" w:space="0" w:color="98FF98" w:themeColor="accent2"/>
              <w:bottom w:val="single" w:sz="24" w:space="0" w:color="FFFFFF" w:themeColor="background1"/>
              <w:right w:val="single" w:sz="24" w:space="0" w:color="FFFFFF" w:themeColor="background1"/>
            </w:tcBorders>
            <w:shd w:val="clear" w:color="auto" w:fill="F2F2F2" w:themeFill="background1" w:themeFillShade="F2"/>
          </w:tcPr>
          <w:p w:rsidR="00146C29" w:rsidRPr="00F61904" w:rsidRDefault="00895B15"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This unit of competency forms part of the BSB30115 Certificate III in Business. </w:t>
            </w:r>
            <w:r w:rsidR="00146C29" w:rsidRPr="00F61904">
              <w:rPr>
                <w:rFonts w:ascii="Nirmala UI" w:hAnsi="Nirmala UI" w:cs="Nirmala UI"/>
                <w:bCs/>
              </w:rPr>
              <w:t xml:space="preserve"> </w:t>
            </w:r>
            <w:r w:rsidRPr="00F61904">
              <w:rPr>
                <w:rFonts w:ascii="Nirmala UI" w:hAnsi="Nirmala UI" w:cs="Nirmala UI"/>
                <w:bCs/>
              </w:rPr>
              <w:t xml:space="preserve">Candidates will undertake this unit of competency as creative design processes form an integral part of business operations, including marketing, document design, staff engagement, and many other aspects. </w:t>
            </w:r>
          </w:p>
        </w:tc>
      </w:tr>
      <w:tr w:rsidR="00146C29" w:rsidRPr="00895B15" w:rsidTr="00A0314B">
        <w:trPr>
          <w:cantSplit/>
          <w:trHeight w:val="584"/>
          <w:jc w:val="center"/>
        </w:trPr>
        <w:tc>
          <w:tcPr>
            <w:tcW w:w="1446" w:type="pct"/>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Context of assessment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46C29" w:rsidRPr="00F61904" w:rsidRDefault="00A0314B" w:rsidP="008E1E43">
            <w:pPr>
              <w:tabs>
                <w:tab w:val="left" w:pos="2595"/>
              </w:tabs>
              <w:spacing w:before="240" w:line="360" w:lineRule="auto"/>
              <w:rPr>
                <w:rFonts w:ascii="Nirmala UI" w:hAnsi="Nirmala UI" w:cs="Nirmala UI"/>
                <w:bCs/>
              </w:rPr>
            </w:pPr>
            <w:r>
              <w:rPr>
                <w:rFonts w:ascii="Nirmala UI" w:hAnsi="Nirmala UI" w:cs="Nirmala UI"/>
                <w:bCs/>
              </w:rPr>
              <w:t xml:space="preserve">Formal assessment to be completed after provision of self-paced training program. </w:t>
            </w:r>
          </w:p>
        </w:tc>
      </w:tr>
      <w:tr w:rsidR="00926C75" w:rsidRPr="00895B15" w:rsidTr="00A0314B">
        <w:trPr>
          <w:cantSplit/>
          <w:trHeight w:val="584"/>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Special arrangements and contexts for assessment</w:t>
            </w:r>
          </w:p>
        </w:tc>
        <w:tc>
          <w:tcPr>
            <w:tcW w:w="3554" w:type="pct"/>
            <w:tcBorders>
              <w:top w:val="single" w:sz="24" w:space="0" w:color="FFFFFF" w:themeColor="background1"/>
              <w:bottom w:val="single" w:sz="24" w:space="0" w:color="98FF98" w:themeColor="accent2"/>
              <w:right w:val="single" w:sz="24" w:space="0" w:color="FFFFFF" w:themeColor="background1"/>
            </w:tcBorders>
            <w:shd w:val="clear" w:color="auto" w:fill="F2F2F2" w:themeFill="background1" w:themeFillShade="F2"/>
          </w:tcPr>
          <w:p w:rsidR="00926C75" w:rsidRPr="00F61904" w:rsidRDefault="00895B15"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If a real work space or studio is not available, the assessor will agree upon a simulated work space with the candidate that utilises whatever resources are available. </w:t>
            </w:r>
            <w:r w:rsidR="008E1E43" w:rsidRPr="00F61904">
              <w:rPr>
                <w:rFonts w:ascii="Nirmala UI" w:hAnsi="Nirmala UI" w:cs="Nirmala UI"/>
                <w:bCs/>
              </w:rPr>
              <w:t xml:space="preserve"> </w:t>
            </w:r>
          </w:p>
        </w:tc>
      </w:tr>
      <w:tr w:rsidR="00146C29" w:rsidRPr="00895B15" w:rsidTr="00A0314B">
        <w:trPr>
          <w:cantSplit/>
          <w:trHeight w:val="567"/>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Target learner group</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widowControl w:val="0"/>
              <w:tabs>
                <w:tab w:val="left" w:pos="2595"/>
              </w:tabs>
              <w:spacing w:before="240" w:line="360" w:lineRule="auto"/>
              <w:rPr>
                <w:rFonts w:ascii="Nirmala UI" w:hAnsi="Nirmala UI" w:cs="Nirmala UI"/>
                <w:bCs/>
                <w:lang w:val="en-US"/>
              </w:rPr>
            </w:pPr>
          </w:p>
        </w:tc>
      </w:tr>
      <w:tr w:rsidR="00146C29" w:rsidRPr="00895B15" w:rsidTr="00A0314B">
        <w:trPr>
          <w:cantSplit/>
          <w:trHeight w:val="567"/>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Specialist support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bCs/>
              </w:rPr>
            </w:pPr>
          </w:p>
        </w:tc>
      </w:tr>
      <w:tr w:rsidR="00926C75" w:rsidRPr="00895B15" w:rsidTr="00A0314B">
        <w:trPr>
          <w:cantSplit/>
          <w:trHeight w:val="56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lastRenderedPageBreak/>
              <w:t>Reasonable adjustment strategies</w:t>
            </w:r>
          </w:p>
        </w:tc>
        <w:tc>
          <w:tcPr>
            <w:tcW w:w="3554" w:type="pct"/>
            <w:tcBorders>
              <w:top w:val="single" w:sz="24" w:space="0" w:color="98FF98" w:themeColor="accent2"/>
              <w:bottom w:val="single" w:sz="24" w:space="0" w:color="98FF98" w:themeColor="accent2"/>
              <w:right w:val="single" w:sz="24" w:space="0" w:color="FFFFFF" w:themeColor="background1"/>
            </w:tcBorders>
            <w:shd w:val="clear" w:color="auto" w:fill="F2F2F2" w:themeFill="background1" w:themeFillShade="F2"/>
          </w:tcPr>
          <w:p w:rsidR="00926C75" w:rsidRPr="00F61904" w:rsidRDefault="00895B15" w:rsidP="008E1E43">
            <w:pPr>
              <w:widowControl w:val="0"/>
              <w:tabs>
                <w:tab w:val="left" w:pos="2595"/>
              </w:tabs>
              <w:spacing w:before="240" w:line="360" w:lineRule="auto"/>
              <w:rPr>
                <w:rFonts w:ascii="Nirmala UI" w:hAnsi="Nirmala UI" w:cs="Nirmala UI"/>
                <w:bCs/>
                <w:lang w:val="en-US"/>
              </w:rPr>
            </w:pPr>
            <w:r w:rsidRPr="00F61904">
              <w:rPr>
                <w:rFonts w:ascii="Nirmala UI" w:hAnsi="Nirmala UI" w:cs="Nirmala UI"/>
                <w:bCs/>
                <w:lang w:val="en-US"/>
              </w:rPr>
              <w:t xml:space="preserve">There are three assessment instruments available to use as part of this assessment. The assessor only needs to administer at least two, ensuring all parts of the unit are assessed. The instruments chosen will be negotiated with the candidate. All three instruments may be used if both the candidate and the assessor agree to this. </w:t>
            </w:r>
            <w:r w:rsidR="00F852D6" w:rsidRPr="00F61904">
              <w:rPr>
                <w:rFonts w:ascii="Nirmala UI" w:hAnsi="Nirmala UI" w:cs="Nirmala UI"/>
                <w:bCs/>
                <w:lang w:val="en-US"/>
              </w:rPr>
              <w:t xml:space="preserve"> </w:t>
            </w:r>
          </w:p>
        </w:tc>
      </w:tr>
      <w:tr w:rsidR="00926C75" w:rsidRPr="00895B15" w:rsidTr="00A0314B">
        <w:trPr>
          <w:cantSplit/>
          <w:trHeight w:val="567"/>
          <w:jc w:val="center"/>
        </w:trPr>
        <w:tc>
          <w:tcPr>
            <w:tcW w:w="1446" w:type="pct"/>
            <w:tcBorders>
              <w:right w:val="single" w:sz="24" w:space="0" w:color="98FF98" w:themeColor="accent2"/>
            </w:tcBorders>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Resources required for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926C75" w:rsidRPr="00F61904" w:rsidRDefault="00926C75" w:rsidP="008E1E43">
            <w:pPr>
              <w:tabs>
                <w:tab w:val="left" w:pos="2595"/>
              </w:tabs>
              <w:spacing w:before="240" w:line="360" w:lineRule="auto"/>
              <w:rPr>
                <w:rFonts w:ascii="Nirmala UI" w:hAnsi="Nirmala UI" w:cs="Nirmala UI"/>
                <w:bCs/>
              </w:rPr>
            </w:pPr>
          </w:p>
        </w:tc>
      </w:tr>
      <w:tr w:rsidR="00926C75" w:rsidRPr="00895B15" w:rsidTr="00A0314B">
        <w:trPr>
          <w:cantSplit/>
          <w:trHeight w:val="56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 xml:space="preserve">Contextualisation guidelines </w:t>
            </w:r>
          </w:p>
        </w:tc>
        <w:tc>
          <w:tcPr>
            <w:tcW w:w="3554" w:type="pct"/>
            <w:tcBorders>
              <w:top w:val="single" w:sz="24" w:space="0" w:color="98FF98" w:themeColor="accent2"/>
              <w:bottom w:val="single" w:sz="24" w:space="0" w:color="FFFFFF" w:themeColor="background1"/>
              <w:right w:val="single" w:sz="24" w:space="0" w:color="FFFFFF" w:themeColor="background1"/>
            </w:tcBorders>
            <w:shd w:val="clear" w:color="auto" w:fill="F2F2F2" w:themeFill="background1" w:themeFillShade="F2"/>
          </w:tcPr>
          <w:p w:rsidR="00432B00" w:rsidRPr="00F61904" w:rsidRDefault="00895B15" w:rsidP="008E1E43">
            <w:pPr>
              <w:tabs>
                <w:tab w:val="left" w:pos="2595"/>
              </w:tabs>
              <w:spacing w:before="240" w:line="360" w:lineRule="auto"/>
              <w:rPr>
                <w:rFonts w:ascii="Nirmala UI" w:hAnsi="Nirmala UI" w:cs="Nirmala UI"/>
                <w:bCs/>
              </w:rPr>
            </w:pPr>
            <w:r w:rsidRPr="00F61904">
              <w:rPr>
                <w:rFonts w:ascii="Nirmala UI" w:hAnsi="Nirmala UI" w:cs="Nirmala UI"/>
                <w:bCs/>
              </w:rPr>
              <w:t>Explicit guidance on contextualisation is not provided by the training package developer</w:t>
            </w:r>
            <w:r w:rsidR="00432B00" w:rsidRPr="00F61904">
              <w:rPr>
                <w:rFonts w:ascii="Nirmala UI" w:hAnsi="Nirmala UI" w:cs="Nirmala UI"/>
                <w:bCs/>
              </w:rPr>
              <w:t xml:space="preserve"> for the CUA training package. As this unit is imported into the BSB Business Services Training Package, the following guidance can be applied:</w:t>
            </w:r>
          </w:p>
          <w:p w:rsidR="00926C75" w:rsidRPr="00F61904" w:rsidRDefault="00432B00" w:rsidP="00432B00">
            <w:pPr>
              <w:tabs>
                <w:tab w:val="left" w:pos="2595"/>
              </w:tabs>
              <w:spacing w:before="240" w:line="360" w:lineRule="auto"/>
              <w:rPr>
                <w:rFonts w:ascii="Nirmala UI" w:hAnsi="Nirmala UI" w:cs="Nirmala UI"/>
                <w:bCs/>
              </w:rPr>
            </w:pPr>
            <w:r w:rsidRPr="00F61904">
              <w:rPr>
                <w:rFonts w:ascii="Nirmala UI" w:hAnsi="Nirmala UI" w:cs="Nirmala UI"/>
                <w:bCs/>
              </w:rPr>
              <w:t>“</w:t>
            </w:r>
            <w:r w:rsidRPr="00F61904">
              <w:rPr>
                <w:rFonts w:ascii="Nirmala UI" w:hAnsi="Nirmala UI" w:cs="Nirmala UI"/>
                <w:bCs/>
              </w:rPr>
              <w:t>RTOs may contextualise units of competency to reflect local skill</w:t>
            </w:r>
            <w:r w:rsidRPr="00F61904">
              <w:rPr>
                <w:rFonts w:ascii="Nirmala UI" w:hAnsi="Nirmala UI" w:cs="Nirmala UI"/>
                <w:bCs/>
              </w:rPr>
              <w:t xml:space="preserve"> </w:t>
            </w:r>
            <w:r w:rsidRPr="00F61904">
              <w:rPr>
                <w:rFonts w:ascii="Nirmala UI" w:hAnsi="Nirmala UI" w:cs="Nirmala UI"/>
                <w:bCs/>
              </w:rPr>
              <w:t>needs. Contextualisation could involve additions or amendments</w:t>
            </w:r>
            <w:r w:rsidRPr="00F61904">
              <w:rPr>
                <w:rFonts w:ascii="Nirmala UI" w:hAnsi="Nirmala UI" w:cs="Nirmala UI"/>
                <w:bCs/>
              </w:rPr>
              <w:t xml:space="preserve"> </w:t>
            </w:r>
            <w:r w:rsidRPr="00F61904">
              <w:rPr>
                <w:rFonts w:ascii="Nirmala UI" w:hAnsi="Nirmala UI" w:cs="Nirmala UI"/>
                <w:bCs/>
              </w:rPr>
              <w:t xml:space="preserve">to the unit of competency to suit </w:t>
            </w:r>
            <w:proofErr w:type="gramStart"/>
            <w:r w:rsidRPr="00F61904">
              <w:rPr>
                <w:rFonts w:ascii="Nirmala UI" w:hAnsi="Nirmala UI" w:cs="Nirmala UI"/>
                <w:bCs/>
              </w:rPr>
              <w:t>particular delivery</w:t>
            </w:r>
            <w:proofErr w:type="gramEnd"/>
            <w:r w:rsidRPr="00F61904">
              <w:rPr>
                <w:rFonts w:ascii="Nirmala UI" w:hAnsi="Nirmala UI" w:cs="Nirmala UI"/>
                <w:bCs/>
              </w:rPr>
              <w:t xml:space="preserve"> methods,</w:t>
            </w:r>
            <w:r w:rsidRPr="00F61904">
              <w:rPr>
                <w:rFonts w:ascii="Nirmala UI" w:hAnsi="Nirmala UI" w:cs="Nirmala UI"/>
                <w:bCs/>
              </w:rPr>
              <w:t xml:space="preserve"> </w:t>
            </w:r>
            <w:r w:rsidRPr="00F61904">
              <w:rPr>
                <w:rFonts w:ascii="Nirmala UI" w:hAnsi="Nirmala UI" w:cs="Nirmala UI"/>
                <w:bCs/>
              </w:rPr>
              <w:t>learner profiles, or specific enterprise requirements. Any</w:t>
            </w:r>
            <w:r w:rsidRPr="00F61904">
              <w:rPr>
                <w:rFonts w:ascii="Nirmala UI" w:hAnsi="Nirmala UI" w:cs="Nirmala UI"/>
                <w:bCs/>
              </w:rPr>
              <w:t xml:space="preserve"> </w:t>
            </w:r>
            <w:r w:rsidRPr="00F61904">
              <w:rPr>
                <w:rFonts w:ascii="Nirmala UI" w:hAnsi="Nirmala UI" w:cs="Nirmala UI"/>
                <w:bCs/>
              </w:rPr>
              <w:t>contextualisation must ensure the integrity of the outcome of the</w:t>
            </w:r>
            <w:r w:rsidRPr="00F61904">
              <w:rPr>
                <w:rFonts w:ascii="Nirmala UI" w:hAnsi="Nirmala UI" w:cs="Nirmala UI"/>
                <w:bCs/>
              </w:rPr>
              <w:t xml:space="preserve"> </w:t>
            </w:r>
            <w:r w:rsidRPr="00F61904">
              <w:rPr>
                <w:rFonts w:ascii="Nirmala UI" w:hAnsi="Nirmala UI" w:cs="Nirmala UI"/>
                <w:bCs/>
              </w:rPr>
              <w:t>unit of competency is maintained.</w:t>
            </w:r>
            <w:r w:rsidRPr="00F61904">
              <w:rPr>
                <w:rFonts w:ascii="Nirmala UI" w:hAnsi="Nirmala UI" w:cs="Nirmala UI"/>
                <w:bCs/>
              </w:rPr>
              <w:t xml:space="preserve"> </w:t>
            </w:r>
            <w:r w:rsidRPr="00F61904">
              <w:rPr>
                <w:rFonts w:ascii="Nirmala UI" w:hAnsi="Nirmala UI" w:cs="Nirmala UI"/>
                <w:bCs/>
              </w:rPr>
              <w:t>Industry requirements, as described in training or job</w:t>
            </w:r>
            <w:r w:rsidRPr="00F61904">
              <w:rPr>
                <w:rFonts w:ascii="Nirmala UI" w:hAnsi="Nirmala UI" w:cs="Nirmala UI"/>
                <w:bCs/>
              </w:rPr>
              <w:t xml:space="preserve"> </w:t>
            </w:r>
            <w:r w:rsidRPr="00F61904">
              <w:rPr>
                <w:rFonts w:ascii="Nirmala UI" w:hAnsi="Nirmala UI" w:cs="Nirmala UI"/>
                <w:bCs/>
              </w:rPr>
              <w:t>specifications, can be used to contextualise a unit of</w:t>
            </w:r>
            <w:r w:rsidRPr="00F61904">
              <w:rPr>
                <w:rFonts w:ascii="Nirmala UI" w:hAnsi="Nirmala UI" w:cs="Nirmala UI"/>
                <w:bCs/>
              </w:rPr>
              <w:t xml:space="preserve"> c</w:t>
            </w:r>
            <w:r w:rsidRPr="00F61904">
              <w:rPr>
                <w:rFonts w:ascii="Nirmala UI" w:hAnsi="Nirmala UI" w:cs="Nirmala UI"/>
                <w:bCs/>
              </w:rPr>
              <w:t>ompetency</w:t>
            </w:r>
            <w:r w:rsidRPr="00F61904">
              <w:rPr>
                <w:rFonts w:ascii="Nirmala UI" w:hAnsi="Nirmala UI" w:cs="Nirmala UI"/>
                <w:bCs/>
              </w:rPr>
              <w:t>”</w:t>
            </w:r>
            <w:r w:rsidR="00895B15" w:rsidRPr="00F61904">
              <w:rPr>
                <w:rFonts w:ascii="Nirmala UI" w:hAnsi="Nirmala UI" w:cs="Nirmala UI"/>
                <w:bCs/>
              </w:rPr>
              <w:t xml:space="preserve"> </w:t>
            </w:r>
            <w:r w:rsidRPr="00F61904">
              <w:rPr>
                <w:rFonts w:ascii="Nirmala UI" w:hAnsi="Nirmala UI" w:cs="Nirmala UI"/>
                <w:bCs/>
              </w:rPr>
              <w:t xml:space="preserve">– source found </w:t>
            </w:r>
            <w:hyperlink r:id="rId7" w:history="1">
              <w:r w:rsidRPr="00F61904">
                <w:rPr>
                  <w:rStyle w:val="Hyperlink"/>
                  <w:rFonts w:ascii="Nirmala UI" w:hAnsi="Nirmala UI" w:cs="Nirmala UI"/>
                  <w:bCs/>
                  <w:color w:val="auto"/>
                </w:rPr>
                <w:t>here</w:t>
              </w:r>
            </w:hyperlink>
            <w:r w:rsidRPr="00F61904">
              <w:rPr>
                <w:rFonts w:ascii="Nirmala UI" w:hAnsi="Nirmala UI" w:cs="Nirmala UI"/>
                <w:bCs/>
              </w:rPr>
              <w:t xml:space="preserve">. </w:t>
            </w:r>
          </w:p>
        </w:tc>
      </w:tr>
      <w:tr w:rsidR="00926C75" w:rsidRPr="00895B15" w:rsidTr="00A0314B">
        <w:trPr>
          <w:cantSplit/>
          <w:trHeight w:val="853"/>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Assessment methods to used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32B00"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As a minimum, at least two methods must be chosen from:</w:t>
            </w:r>
          </w:p>
          <w:p w:rsidR="00926C75" w:rsidRPr="00F61904" w:rsidRDefault="00432B00" w:rsidP="00432B00">
            <w:pPr>
              <w:pStyle w:val="ListParagraph"/>
              <w:numPr>
                <w:ilvl w:val="0"/>
                <w:numId w:val="1"/>
              </w:numPr>
              <w:tabs>
                <w:tab w:val="left" w:pos="2595"/>
              </w:tabs>
              <w:spacing w:before="240" w:line="360" w:lineRule="auto"/>
              <w:rPr>
                <w:rFonts w:ascii="Nirmala UI" w:hAnsi="Nirmala UI" w:cs="Nirmala UI"/>
                <w:bCs/>
              </w:rPr>
            </w:pPr>
            <w:r w:rsidRPr="00F61904">
              <w:rPr>
                <w:rFonts w:ascii="Nirmala UI" w:hAnsi="Nirmala UI" w:cs="Nirmala UI"/>
                <w:bCs/>
              </w:rPr>
              <w:t>Observation</w:t>
            </w:r>
          </w:p>
          <w:p w:rsidR="00432B00" w:rsidRPr="00F61904" w:rsidRDefault="00432B00" w:rsidP="00432B00">
            <w:pPr>
              <w:pStyle w:val="ListParagraph"/>
              <w:numPr>
                <w:ilvl w:val="0"/>
                <w:numId w:val="1"/>
              </w:numPr>
              <w:tabs>
                <w:tab w:val="left" w:pos="2595"/>
              </w:tabs>
              <w:spacing w:before="240" w:line="360" w:lineRule="auto"/>
              <w:rPr>
                <w:rFonts w:ascii="Nirmala UI" w:hAnsi="Nirmala UI" w:cs="Nirmala UI"/>
                <w:bCs/>
              </w:rPr>
            </w:pPr>
            <w:r w:rsidRPr="00F61904">
              <w:rPr>
                <w:rFonts w:ascii="Nirmala UI" w:hAnsi="Nirmala UI" w:cs="Nirmala UI"/>
                <w:bCs/>
              </w:rPr>
              <w:t>Questioning</w:t>
            </w:r>
          </w:p>
          <w:p w:rsidR="00432B00" w:rsidRPr="00F61904" w:rsidRDefault="00A0314B" w:rsidP="00432B00">
            <w:pPr>
              <w:pStyle w:val="ListParagraph"/>
              <w:numPr>
                <w:ilvl w:val="0"/>
                <w:numId w:val="1"/>
              </w:numPr>
              <w:tabs>
                <w:tab w:val="left" w:pos="2595"/>
              </w:tabs>
              <w:spacing w:before="240" w:line="360" w:lineRule="auto"/>
              <w:rPr>
                <w:rFonts w:ascii="Nirmala UI" w:hAnsi="Nirmala UI" w:cs="Nirmala UI"/>
                <w:bCs/>
              </w:rPr>
            </w:pPr>
            <w:r>
              <w:rPr>
                <w:rFonts w:ascii="Nirmala UI" w:hAnsi="Nirmala UI" w:cs="Nirmala UI"/>
                <w:bCs/>
              </w:rPr>
              <w:t>Product-based method</w:t>
            </w:r>
          </w:p>
        </w:tc>
      </w:tr>
      <w:tr w:rsidR="00926C75" w:rsidRPr="00895B15" w:rsidTr="00A0314B">
        <w:trPr>
          <w:cantSplit/>
          <w:trHeight w:val="89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lastRenderedPageBreak/>
              <w:t>Assessment instruments to be used</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Dependent on the methods chosen above, at least two instruments must be chosen from:</w:t>
            </w:r>
            <w:r w:rsidR="00926C75" w:rsidRPr="00F61904">
              <w:rPr>
                <w:rFonts w:ascii="Nirmala UI" w:hAnsi="Nirmala UI" w:cs="Nirmala UI"/>
                <w:bCs/>
              </w:rPr>
              <w:t xml:space="preserve"> </w:t>
            </w:r>
          </w:p>
          <w:p w:rsidR="00432B00" w:rsidRPr="00F61904" w:rsidRDefault="00A0314B" w:rsidP="00432B00">
            <w:pPr>
              <w:pStyle w:val="ListParagraph"/>
              <w:numPr>
                <w:ilvl w:val="0"/>
                <w:numId w:val="2"/>
              </w:numPr>
              <w:tabs>
                <w:tab w:val="left" w:pos="2595"/>
              </w:tabs>
              <w:spacing w:before="240" w:line="360" w:lineRule="auto"/>
              <w:rPr>
                <w:rFonts w:ascii="Nirmala UI" w:hAnsi="Nirmala UI" w:cs="Nirmala UI"/>
                <w:bCs/>
              </w:rPr>
            </w:pPr>
            <w:r>
              <w:rPr>
                <w:rFonts w:ascii="Nirmala UI" w:hAnsi="Nirmala UI" w:cs="Nirmala UI"/>
                <w:bCs/>
              </w:rPr>
              <w:t>Project</w:t>
            </w:r>
          </w:p>
          <w:p w:rsidR="00432B00" w:rsidRPr="00F61904" w:rsidRDefault="00A0314B" w:rsidP="00432B00">
            <w:pPr>
              <w:pStyle w:val="ListParagraph"/>
              <w:numPr>
                <w:ilvl w:val="0"/>
                <w:numId w:val="2"/>
              </w:numPr>
              <w:tabs>
                <w:tab w:val="left" w:pos="2595"/>
              </w:tabs>
              <w:spacing w:before="240" w:line="360" w:lineRule="auto"/>
              <w:rPr>
                <w:rFonts w:ascii="Nirmala UI" w:hAnsi="Nirmala UI" w:cs="Nirmala UI"/>
                <w:bCs/>
              </w:rPr>
            </w:pPr>
            <w:r>
              <w:rPr>
                <w:rFonts w:ascii="Nirmala UI" w:hAnsi="Nirmala UI" w:cs="Nirmala UI"/>
                <w:bCs/>
              </w:rPr>
              <w:t>Written/Verbal Questions</w:t>
            </w:r>
          </w:p>
          <w:p w:rsidR="00432B00" w:rsidRPr="00F61904" w:rsidRDefault="00432B00" w:rsidP="00432B00">
            <w:pPr>
              <w:pStyle w:val="ListParagraph"/>
              <w:numPr>
                <w:ilvl w:val="0"/>
                <w:numId w:val="2"/>
              </w:numPr>
              <w:tabs>
                <w:tab w:val="left" w:pos="2595"/>
              </w:tabs>
              <w:spacing w:before="240" w:line="360" w:lineRule="auto"/>
              <w:rPr>
                <w:rFonts w:ascii="Nirmala UI" w:hAnsi="Nirmala UI" w:cs="Nirmala UI"/>
                <w:bCs/>
              </w:rPr>
            </w:pPr>
            <w:r w:rsidRPr="00F61904">
              <w:rPr>
                <w:rFonts w:ascii="Nirmala UI" w:hAnsi="Nirmala UI" w:cs="Nirmala UI"/>
                <w:bCs/>
              </w:rPr>
              <w:t>Observation Checklist</w:t>
            </w:r>
          </w:p>
        </w:tc>
      </w:tr>
      <w:tr w:rsidR="00926C75" w:rsidRPr="00895B15" w:rsidTr="00A0314B">
        <w:trPr>
          <w:cantSplit/>
          <w:trHeight w:val="89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Cs/>
                <w:color w:val="FFFFFF" w:themeColor="background1"/>
              </w:rPr>
            </w:pPr>
            <w:r w:rsidRPr="00F61904">
              <w:rPr>
                <w:rFonts w:ascii="Nirmala UI" w:hAnsi="Nirmala UI" w:cs="Nirmala UI"/>
                <w:b/>
                <w:bCs/>
                <w:color w:val="FFFFFF" w:themeColor="background1"/>
              </w:rPr>
              <w:t>Evidence to be collected from the candidate</w:t>
            </w:r>
          </w:p>
        </w:tc>
        <w:tc>
          <w:tcPr>
            <w:tcW w:w="3554" w:type="pct"/>
            <w:tcBorders>
              <w:top w:val="single" w:sz="24" w:space="0" w:color="FFFFFF" w:themeColor="background1"/>
              <w:bottom w:val="single" w:sz="24" w:space="0" w:color="98FF98" w:themeColor="accent2"/>
              <w:right w:val="single" w:sz="24" w:space="0" w:color="FFFFFF" w:themeColor="background1"/>
            </w:tcBorders>
            <w:shd w:val="clear" w:color="auto" w:fill="F2F2F2" w:themeFill="background1" w:themeFillShade="F2"/>
          </w:tcPr>
          <w:p w:rsidR="00432B00"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Evidence collected will be dependent on the methods/instruments chosen above:</w:t>
            </w:r>
          </w:p>
          <w:p w:rsidR="00926C75" w:rsidRPr="00F61904" w:rsidRDefault="00432B00" w:rsidP="00432B00">
            <w:pPr>
              <w:pStyle w:val="ListParagraph"/>
              <w:numPr>
                <w:ilvl w:val="0"/>
                <w:numId w:val="3"/>
              </w:numPr>
              <w:tabs>
                <w:tab w:val="left" w:pos="2595"/>
              </w:tabs>
              <w:spacing w:before="240" w:line="360" w:lineRule="auto"/>
              <w:rPr>
                <w:rFonts w:ascii="Nirmala UI" w:hAnsi="Nirmala UI" w:cs="Nirmala UI"/>
                <w:bCs/>
              </w:rPr>
            </w:pPr>
            <w:r w:rsidRPr="00F61904">
              <w:rPr>
                <w:rFonts w:ascii="Nirmala UI" w:hAnsi="Nirmala UI" w:cs="Nirmala UI"/>
                <w:bCs/>
              </w:rPr>
              <w:t xml:space="preserve">Documentary evidence </w:t>
            </w:r>
            <w:r w:rsidR="00A0314B">
              <w:rPr>
                <w:rFonts w:ascii="Nirmala UI" w:hAnsi="Nirmala UI" w:cs="Nirmala UI"/>
                <w:bCs/>
              </w:rPr>
              <w:t xml:space="preserve">in the form of a completed creative piece and </w:t>
            </w:r>
            <w:r w:rsidR="00074AA2">
              <w:rPr>
                <w:rFonts w:ascii="Nirmala UI" w:hAnsi="Nirmala UI" w:cs="Nirmala UI"/>
                <w:bCs/>
              </w:rPr>
              <w:t>process journal will be collected with the Project</w:t>
            </w:r>
          </w:p>
          <w:p w:rsidR="00432B00" w:rsidRPr="00F61904" w:rsidRDefault="00432B00" w:rsidP="00432B00">
            <w:pPr>
              <w:pStyle w:val="ListParagraph"/>
              <w:numPr>
                <w:ilvl w:val="0"/>
                <w:numId w:val="3"/>
              </w:numPr>
              <w:tabs>
                <w:tab w:val="left" w:pos="2595"/>
              </w:tabs>
              <w:spacing w:before="240" w:line="360" w:lineRule="auto"/>
              <w:rPr>
                <w:rFonts w:ascii="Nirmala UI" w:hAnsi="Nirmala UI" w:cs="Nirmala UI"/>
                <w:bCs/>
              </w:rPr>
            </w:pPr>
            <w:r w:rsidRPr="00F61904">
              <w:rPr>
                <w:rFonts w:ascii="Nirmala UI" w:hAnsi="Nirmala UI" w:cs="Nirmala UI"/>
                <w:bCs/>
              </w:rPr>
              <w:t>Candidate’s written or verbal responses will be collected with the Competency Discussion</w:t>
            </w:r>
            <w:bookmarkStart w:id="0" w:name="_GoBack"/>
            <w:bookmarkEnd w:id="0"/>
          </w:p>
          <w:p w:rsidR="00432B00" w:rsidRPr="00F61904" w:rsidRDefault="00432B00" w:rsidP="00432B00">
            <w:pPr>
              <w:pStyle w:val="ListParagraph"/>
              <w:numPr>
                <w:ilvl w:val="0"/>
                <w:numId w:val="3"/>
              </w:numPr>
              <w:tabs>
                <w:tab w:val="left" w:pos="2595"/>
              </w:tabs>
              <w:spacing w:before="240" w:line="360" w:lineRule="auto"/>
              <w:rPr>
                <w:rFonts w:ascii="Nirmala UI" w:hAnsi="Nirmala UI" w:cs="Nirmala UI"/>
                <w:bCs/>
              </w:rPr>
            </w:pPr>
            <w:r w:rsidRPr="00F61904">
              <w:rPr>
                <w:rFonts w:ascii="Nirmala UI" w:hAnsi="Nirmala UI" w:cs="Nirmala UI"/>
                <w:bCs/>
              </w:rPr>
              <w:t>Assessor comments on Candidate’s performance will be collected with the Observation Checklist</w:t>
            </w:r>
          </w:p>
        </w:tc>
      </w:tr>
      <w:tr w:rsidR="00926C75" w:rsidRPr="00895B15" w:rsidTr="00A0314B">
        <w:trPr>
          <w:cantSplit/>
          <w:trHeight w:val="892"/>
          <w:jc w:val="center"/>
        </w:trPr>
        <w:tc>
          <w:tcPr>
            <w:tcW w:w="1446" w:type="pct"/>
            <w:tcBorders>
              <w:right w:val="single" w:sz="24" w:space="0" w:color="98FF98" w:themeColor="accent2"/>
            </w:tcBorders>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Timeline for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926C75" w:rsidRPr="00F61904" w:rsidRDefault="00926C75" w:rsidP="008E1E43">
            <w:pPr>
              <w:tabs>
                <w:tab w:val="left" w:pos="2595"/>
              </w:tabs>
              <w:spacing w:before="240" w:line="360" w:lineRule="auto"/>
              <w:rPr>
                <w:rFonts w:ascii="Nirmala UI" w:hAnsi="Nirmala UI" w:cs="Nirmala UI"/>
                <w:bCs/>
              </w:rPr>
            </w:pPr>
          </w:p>
        </w:tc>
      </w:tr>
      <w:tr w:rsidR="00926C75" w:rsidRPr="00895B15" w:rsidTr="00A0314B">
        <w:trPr>
          <w:cantSplit/>
          <w:trHeight w:val="892"/>
          <w:jc w:val="center"/>
        </w:trPr>
        <w:tc>
          <w:tcPr>
            <w:tcW w:w="1446" w:type="pct"/>
            <w:tcBorders>
              <w:right w:val="single" w:sz="24" w:space="0" w:color="98FF98" w:themeColor="accent2"/>
            </w:tcBorders>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Assessment integration of work activities </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926C75" w:rsidRPr="00F61904" w:rsidRDefault="00926C75" w:rsidP="008E1E43">
            <w:pPr>
              <w:tabs>
                <w:tab w:val="left" w:pos="2595"/>
              </w:tabs>
              <w:spacing w:before="240" w:line="360" w:lineRule="auto"/>
              <w:rPr>
                <w:rFonts w:ascii="Nirmala UI" w:hAnsi="Nirmala UI" w:cs="Nirmala UI"/>
                <w:bCs/>
              </w:rPr>
            </w:pPr>
          </w:p>
        </w:tc>
      </w:tr>
      <w:tr w:rsidR="00446C07" w:rsidRPr="00895B15" w:rsidTr="00A0314B">
        <w:trPr>
          <w:cantSplit/>
          <w:trHeight w:val="892"/>
          <w:jc w:val="center"/>
        </w:trPr>
        <w:tc>
          <w:tcPr>
            <w:tcW w:w="1446" w:type="pct"/>
            <w:shd w:val="clear" w:color="auto" w:fill="50C878" w:themeFill="accent1"/>
          </w:tcPr>
          <w:p w:rsidR="00446C07" w:rsidRPr="00F61904" w:rsidRDefault="00446C07"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Industry or workplace requirements</w:t>
            </w:r>
          </w:p>
        </w:tc>
        <w:tc>
          <w:tcPr>
            <w:tcW w:w="3554" w:type="pct"/>
            <w:tcBorders>
              <w:top w:val="single" w:sz="24" w:space="0" w:color="98FF98" w:themeColor="accent2"/>
              <w:bottom w:val="single" w:sz="24" w:space="0" w:color="FFFFFF" w:themeColor="background1"/>
              <w:right w:val="single" w:sz="24" w:space="0" w:color="FFFFFF" w:themeColor="background1"/>
            </w:tcBorders>
            <w:shd w:val="clear" w:color="auto" w:fill="F2F2F2" w:themeFill="background1" w:themeFillShade="F2"/>
          </w:tcPr>
          <w:p w:rsidR="00446C07"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Candidate will need access to a real or simulated work space or studio for the observation task, unless there is evidence of past access in the portfolio evidence. </w:t>
            </w:r>
            <w:r w:rsidR="00446C07" w:rsidRPr="00F61904">
              <w:rPr>
                <w:rFonts w:ascii="Nirmala UI" w:hAnsi="Nirmala UI" w:cs="Nirmala UI"/>
                <w:bCs/>
              </w:rPr>
              <w:t xml:space="preserve"> </w:t>
            </w:r>
          </w:p>
        </w:tc>
      </w:tr>
      <w:tr w:rsidR="00926C75" w:rsidRPr="00895B15" w:rsidTr="00A0314B">
        <w:trPr>
          <w:cantSplit/>
          <w:trHeight w:val="701"/>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Work, health and safety (WHS) requirements for conducting assessment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lang w:val="en-US"/>
              </w:rPr>
            </w:pPr>
            <w:r w:rsidRPr="00F61904">
              <w:rPr>
                <w:rFonts w:ascii="Nirmala UI" w:hAnsi="Nirmala UI" w:cs="Nirmala UI"/>
                <w:bCs/>
                <w:lang w:val="en-US"/>
              </w:rPr>
              <w:t>Practical assessment must ensure that learners are aware of the WHS implications of their selected instrument.</w:t>
            </w:r>
          </w:p>
        </w:tc>
      </w:tr>
      <w:tr w:rsidR="00926C75" w:rsidRPr="00895B15" w:rsidTr="00A0314B">
        <w:trPr>
          <w:cantSplit/>
          <w:trHeight w:val="85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lastRenderedPageBreak/>
              <w:t>Organisational requirements for assessment</w:t>
            </w:r>
            <w:r w:rsidRPr="00F61904">
              <w:rPr>
                <w:rFonts w:ascii="Nirmala UI" w:hAnsi="Nirmala UI" w:cs="Nirmala UI"/>
                <w:bCs/>
                <w:color w:val="FFFFFF" w:themeColor="background1"/>
              </w:rPr>
              <w:t xml:space="preserve">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lang w:val="en-US"/>
              </w:rPr>
              <w:t>The company must provide all assessment materials and resources to each learner.</w:t>
            </w:r>
          </w:p>
        </w:tc>
      </w:tr>
      <w:tr w:rsidR="00926C75" w:rsidRPr="00895B15" w:rsidTr="00A0314B">
        <w:trPr>
          <w:cantSplit/>
          <w:trHeight w:val="85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Ethical requirements for assessment</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lang w:val="en-US"/>
              </w:rPr>
              <w:t>Each learner will have the same opportunities to attempt the assessment tasks regardless of their LLN need.</w:t>
            </w:r>
          </w:p>
        </w:tc>
      </w:tr>
      <w:tr w:rsidR="00926C75" w:rsidRPr="00895B15" w:rsidTr="00A0314B">
        <w:trPr>
          <w:cantSplit/>
          <w:trHeight w:val="85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Legal requirements for assessment</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rPr>
              <w:t>The assessor must comply with any industry legislation or regulations.</w:t>
            </w:r>
          </w:p>
        </w:tc>
      </w:tr>
      <w:tr w:rsidR="00926C75" w:rsidRPr="00895B15" w:rsidTr="00A0314B">
        <w:trPr>
          <w:cantSplit/>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Document formatting 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rPr>
              <w:t>All training and assessment documents must be available in Microsoft Word 2010.</w:t>
            </w:r>
          </w:p>
        </w:tc>
      </w:tr>
      <w:tr w:rsidR="00926C75" w:rsidRPr="00895B15" w:rsidTr="00A0314B">
        <w:trPr>
          <w:cantSplit/>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Document filing 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61904"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All completed assessments must be scanned into PDF format. The file naming protocol is as follows:</w:t>
            </w:r>
          </w:p>
          <w:p w:rsidR="00926C75"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Student name – UNIT CODE – Document type</w:t>
            </w:r>
          </w:p>
        </w:tc>
      </w:tr>
      <w:tr w:rsidR="00926C75" w:rsidRPr="00895B15" w:rsidTr="00A0314B">
        <w:trPr>
          <w:cantSplit/>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 xml:space="preserve">Document storage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spacing w:before="240" w:line="360" w:lineRule="auto"/>
              <w:rPr>
                <w:rFonts w:ascii="Nirmala UI" w:hAnsi="Nirmala UI" w:cs="Nirmala UI"/>
                <w:bCs/>
              </w:rPr>
            </w:pPr>
            <w:r w:rsidRPr="00F61904">
              <w:rPr>
                <w:rFonts w:ascii="Nirmala UI" w:hAnsi="Nirmala UI" w:cs="Nirmala UI"/>
                <w:bCs/>
              </w:rPr>
              <w:t>All completed assessments must be scanned into the student’s folder located on the company server.</w:t>
            </w:r>
          </w:p>
        </w:tc>
      </w:tr>
      <w:tr w:rsidR="00926C75" w:rsidRPr="00895B15" w:rsidTr="00A0314B">
        <w:trPr>
          <w:cantSplit/>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 xml:space="preserve">Student records retrieval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rPr>
              <w:t>Staff must have authorisation (e.g. protected password or security pass) to access a student’s file.</w:t>
            </w:r>
          </w:p>
        </w:tc>
      </w:tr>
      <w:tr w:rsidR="00926C75" w:rsidRPr="00895B15" w:rsidTr="00A0314B">
        <w:trPr>
          <w:cantSplit/>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 xml:space="preserve">Assessment review </w:t>
            </w:r>
            <w:r w:rsidR="00F852D6" w:rsidRPr="00F61904">
              <w:rPr>
                <w:rFonts w:ascii="Nirmala UI" w:hAnsi="Nirmala UI" w:cs="Nirmala UI"/>
                <w:b/>
                <w:color w:val="FFFFFF" w:themeColor="background1"/>
              </w:rPr>
              <w:t xml:space="preserve">and evaluation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lang w:val="en-US"/>
              </w:rPr>
              <w:t>Assessment reviews must occur every 12 months. Assessment evaluations must comply with the assessment validation policy.</w:t>
            </w:r>
          </w:p>
        </w:tc>
      </w:tr>
      <w:tr w:rsidR="00926C75" w:rsidRPr="00895B15" w:rsidTr="00A0314B">
        <w:trPr>
          <w:cantSplit/>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lastRenderedPageBreak/>
              <w:t xml:space="preserve">Version control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61904"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All minor and major changes to training and assessment documents must comply with the policy below:</w:t>
            </w:r>
          </w:p>
          <w:p w:rsidR="00926C75"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Use the date to indicate the version of the document – 02.11.2015</w:t>
            </w:r>
          </w:p>
        </w:tc>
      </w:tr>
      <w:tr w:rsidR="00926C75" w:rsidRPr="00895B15" w:rsidTr="00A0314B">
        <w:trPr>
          <w:cantSplit/>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Confirmed assessment arrangements with appropriate personnel</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8E1E43"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Who needs to agree to this assessment plan? Consider different roles within the RTO, the client organisation, the candidate or external stakeholders. </w:t>
            </w:r>
          </w:p>
        </w:tc>
      </w:tr>
    </w:tbl>
    <w:p w:rsidR="00CF6856" w:rsidRPr="00895B15" w:rsidRDefault="00CF6856">
      <w:pPr>
        <w:rPr>
          <w:rFonts w:ascii="Nirmala UI" w:hAnsi="Nirmala UI" w:cs="Nirmala UI"/>
        </w:rPr>
      </w:pPr>
    </w:p>
    <w:sectPr w:rsidR="00CF6856" w:rsidRPr="00895B15" w:rsidSect="00663D7A">
      <w:headerReference w:type="default" r:id="rId8"/>
      <w:footerReference w:type="default" r:id="rId9"/>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7A" w:rsidRDefault="00663D7A" w:rsidP="00663D7A">
      <w:pPr>
        <w:spacing w:after="0" w:line="240" w:lineRule="auto"/>
      </w:pPr>
      <w:r>
        <w:separator/>
      </w:r>
    </w:p>
  </w:endnote>
  <w:endnote w:type="continuationSeparator" w:id="0">
    <w:p w:rsidR="00663D7A" w:rsidRDefault="00663D7A" w:rsidP="0066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7A" w:rsidRPr="00663D7A" w:rsidRDefault="00663D7A">
    <w:pPr>
      <w:pStyle w:val="Footer"/>
      <w:rPr>
        <w:rFonts w:ascii="Nirmala UI" w:hAnsi="Nirmala UI" w:cs="Nirmala UI"/>
        <w:sz w:val="20"/>
      </w:rPr>
    </w:pPr>
    <w:r w:rsidRPr="00663D7A">
      <w:rPr>
        <w:rFonts w:ascii="Nirmala UI" w:hAnsi="Nirmala UI" w:cs="Nirmala UI"/>
        <w:sz w:val="20"/>
      </w:rPr>
      <w:t>CUAPPR201 Make simple creative work</w:t>
    </w:r>
    <w:r w:rsidRPr="00663D7A">
      <w:rPr>
        <w:rFonts w:ascii="Nirmala UI" w:hAnsi="Nirmala UI" w:cs="Nirmala UI"/>
        <w:sz w:val="20"/>
      </w:rPr>
      <w:tab/>
      <w:t xml:space="preserve">V1.0 </w:t>
    </w:r>
    <w:r w:rsidRPr="00663D7A">
      <w:rPr>
        <w:rFonts w:ascii="Nirmala UI" w:hAnsi="Nirmala UI" w:cs="Nirmala UI"/>
        <w:sz w:val="20"/>
      </w:rPr>
      <w:tab/>
      <w:t xml:space="preserve">Page </w:t>
    </w:r>
    <w:r w:rsidRPr="00663D7A">
      <w:rPr>
        <w:rFonts w:ascii="Nirmala UI" w:hAnsi="Nirmala UI" w:cs="Nirmala UI"/>
        <w:sz w:val="20"/>
      </w:rPr>
      <w:fldChar w:fldCharType="begin"/>
    </w:r>
    <w:r w:rsidRPr="00663D7A">
      <w:rPr>
        <w:rFonts w:ascii="Nirmala UI" w:hAnsi="Nirmala UI" w:cs="Nirmala UI"/>
        <w:sz w:val="20"/>
      </w:rPr>
      <w:instrText xml:space="preserve"> PAGE   \* MERGEFORMAT </w:instrText>
    </w:r>
    <w:r w:rsidRPr="00663D7A">
      <w:rPr>
        <w:rFonts w:ascii="Nirmala UI" w:hAnsi="Nirmala UI" w:cs="Nirmala UI"/>
        <w:sz w:val="20"/>
      </w:rPr>
      <w:fldChar w:fldCharType="separate"/>
    </w:r>
    <w:r w:rsidRPr="00663D7A">
      <w:rPr>
        <w:rFonts w:ascii="Nirmala UI" w:hAnsi="Nirmala UI" w:cs="Nirmala UI"/>
        <w:noProof/>
        <w:sz w:val="20"/>
      </w:rPr>
      <w:t>1</w:t>
    </w:r>
    <w:r w:rsidRPr="00663D7A">
      <w:rPr>
        <w:rFonts w:ascii="Nirmala UI" w:hAnsi="Nirmala UI" w:cs="Nirmala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7A" w:rsidRDefault="00663D7A" w:rsidP="00663D7A">
      <w:pPr>
        <w:spacing w:after="0" w:line="240" w:lineRule="auto"/>
      </w:pPr>
      <w:r>
        <w:separator/>
      </w:r>
    </w:p>
  </w:footnote>
  <w:footnote w:type="continuationSeparator" w:id="0">
    <w:p w:rsidR="00663D7A" w:rsidRDefault="00663D7A" w:rsidP="0066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7A" w:rsidRPr="00663D7A" w:rsidRDefault="00663D7A">
    <w:pPr>
      <w:pStyle w:val="Header"/>
      <w:rPr>
        <w:rFonts w:ascii="Nirmala UI" w:hAnsi="Nirmala UI" w:cs="Nirmala UI"/>
        <w:sz w:val="20"/>
      </w:rPr>
    </w:pPr>
    <w:r w:rsidRPr="00663D7A">
      <w:rPr>
        <w:rFonts w:ascii="Nirmala UI" w:hAnsi="Nirmala UI" w:cs="Nirmala UI"/>
        <w:sz w:val="20"/>
      </w:rPr>
      <w:t>CUAPPR201 RPL Assessment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B96"/>
    <w:multiLevelType w:val="hybridMultilevel"/>
    <w:tmpl w:val="01F0A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3462FE"/>
    <w:multiLevelType w:val="hybridMultilevel"/>
    <w:tmpl w:val="E4B81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075050E"/>
    <w:multiLevelType w:val="hybridMultilevel"/>
    <w:tmpl w:val="3E92E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29"/>
    <w:rsid w:val="00074AA2"/>
    <w:rsid w:val="00146C29"/>
    <w:rsid w:val="00432B00"/>
    <w:rsid w:val="00446C07"/>
    <w:rsid w:val="00663D7A"/>
    <w:rsid w:val="00807A27"/>
    <w:rsid w:val="00895B15"/>
    <w:rsid w:val="008E1E43"/>
    <w:rsid w:val="00926C75"/>
    <w:rsid w:val="00A0314B"/>
    <w:rsid w:val="00CF6856"/>
    <w:rsid w:val="00F61904"/>
    <w:rsid w:val="00F85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53DD"/>
  <w15:chartTrackingRefBased/>
  <w15:docId w15:val="{1B984AB3-37C9-4AF9-99A8-94C0EE03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C29"/>
    <w:rPr>
      <w:color w:val="808080"/>
    </w:rPr>
  </w:style>
  <w:style w:type="character" w:styleId="Hyperlink">
    <w:name w:val="Hyperlink"/>
    <w:basedOn w:val="DefaultParagraphFont"/>
    <w:uiPriority w:val="99"/>
    <w:unhideWhenUsed/>
    <w:rsid w:val="00432B00"/>
    <w:rPr>
      <w:color w:val="418AB3" w:themeColor="hyperlink"/>
      <w:u w:val="single"/>
    </w:rPr>
  </w:style>
  <w:style w:type="character" w:styleId="UnresolvedMention">
    <w:name w:val="Unresolved Mention"/>
    <w:basedOn w:val="DefaultParagraphFont"/>
    <w:uiPriority w:val="99"/>
    <w:semiHidden/>
    <w:unhideWhenUsed/>
    <w:rsid w:val="00432B00"/>
    <w:rPr>
      <w:color w:val="808080"/>
      <w:shd w:val="clear" w:color="auto" w:fill="E6E6E6"/>
    </w:rPr>
  </w:style>
  <w:style w:type="paragraph" w:styleId="ListParagraph">
    <w:name w:val="List Paragraph"/>
    <w:basedOn w:val="Normal"/>
    <w:uiPriority w:val="34"/>
    <w:qFormat/>
    <w:rsid w:val="00432B00"/>
    <w:pPr>
      <w:ind w:left="720"/>
      <w:contextualSpacing/>
    </w:pPr>
  </w:style>
  <w:style w:type="paragraph" w:styleId="Header">
    <w:name w:val="header"/>
    <w:basedOn w:val="Normal"/>
    <w:link w:val="HeaderChar"/>
    <w:uiPriority w:val="99"/>
    <w:unhideWhenUsed/>
    <w:rsid w:val="00663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D7A"/>
  </w:style>
  <w:style w:type="paragraph" w:styleId="Footer">
    <w:name w:val="footer"/>
    <w:basedOn w:val="Normal"/>
    <w:link w:val="FooterChar"/>
    <w:uiPriority w:val="99"/>
    <w:unhideWhenUsed/>
    <w:rsid w:val="0066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tnet.education.gov.au/Pages/download.aspx?url=https://vetnet.education.gov.au/Public%20Documents/BSBv2_Implementation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Michael Tubby</cp:lastModifiedBy>
  <cp:revision>2</cp:revision>
  <dcterms:created xsi:type="dcterms:W3CDTF">2018-10-01T06:59:00Z</dcterms:created>
  <dcterms:modified xsi:type="dcterms:W3CDTF">2018-10-01T06:59:00Z</dcterms:modified>
</cp:coreProperties>
</file>