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9E" w:rsidRPr="002D5D21" w:rsidRDefault="00847588" w:rsidP="002D5D21">
      <w:pPr>
        <w:spacing w:line="360" w:lineRule="auto"/>
        <w:rPr>
          <w:rFonts w:ascii="Nirmala UI" w:hAnsi="Nirmala UI" w:cs="Nirmala UI"/>
          <w:b/>
          <w:sz w:val="28"/>
        </w:rPr>
      </w:pPr>
      <w:r w:rsidRPr="002D5D21">
        <w:rPr>
          <w:rFonts w:ascii="Nirmala UI" w:hAnsi="Nirmala UI" w:cs="Nirmala UI"/>
          <w:b/>
          <w:sz w:val="28"/>
        </w:rPr>
        <w:t xml:space="preserve">CUAPPR201 Make simple creative work </w:t>
      </w:r>
    </w:p>
    <w:p w:rsidR="00847588" w:rsidRPr="002D5D21" w:rsidRDefault="00847588" w:rsidP="002D5D21">
      <w:pPr>
        <w:spacing w:line="360" w:lineRule="auto"/>
        <w:rPr>
          <w:rFonts w:ascii="Nirmala UI" w:hAnsi="Nirmala UI" w:cs="Nirmala UI"/>
          <w:b/>
          <w:sz w:val="28"/>
        </w:rPr>
      </w:pPr>
      <w:r w:rsidRPr="002D5D21">
        <w:rPr>
          <w:rFonts w:ascii="Nirmala UI" w:hAnsi="Nirmala UI" w:cs="Nirmala UI"/>
          <w:b/>
          <w:sz w:val="28"/>
        </w:rPr>
        <w:t>Assessment Mapping Matrix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21"/>
        <w:gridCol w:w="1542"/>
        <w:gridCol w:w="3490"/>
        <w:gridCol w:w="2504"/>
        <w:gridCol w:w="2004"/>
        <w:gridCol w:w="1992"/>
        <w:gridCol w:w="1993"/>
      </w:tblGrid>
      <w:tr w:rsidR="001A165F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1A165F" w:rsidRPr="002D5D21" w:rsidRDefault="00847588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</w:rPr>
            </w:pPr>
            <w:r w:rsidRPr="002D5D21">
              <w:rPr>
                <w:rFonts w:ascii="Nirmala UI" w:hAnsi="Nirmala UI" w:cs="Nirmala UI"/>
                <w:b/>
              </w:rPr>
              <w:t>CUAPPR201 Make simple creative work</w:t>
            </w:r>
          </w:p>
        </w:tc>
        <w:tc>
          <w:tcPr>
            <w:tcW w:w="6017" w:type="dxa"/>
            <w:gridSpan w:val="3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1A165F" w:rsidRPr="002D5D21" w:rsidRDefault="001A165F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Evidence Requirements</w:t>
            </w:r>
          </w:p>
        </w:tc>
      </w:tr>
      <w:tr w:rsidR="009B3007" w:rsidRPr="002D5D21" w:rsidTr="002D5D21">
        <w:trPr>
          <w:cantSplit/>
          <w:trHeight w:val="405"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Competency Standard</w:t>
            </w:r>
          </w:p>
        </w:tc>
        <w:tc>
          <w:tcPr>
            <w:tcW w:w="2005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Instrument 1:</w:t>
            </w:r>
          </w:p>
          <w:p w:rsidR="009B3007" w:rsidRPr="002D5D21" w:rsidRDefault="002D5D21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Portfolio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Instrument 2:</w:t>
            </w:r>
          </w:p>
          <w:p w:rsidR="009B3007" w:rsidRPr="002D5D21" w:rsidRDefault="004A77A9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Questions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Instrument 3:</w:t>
            </w:r>
          </w:p>
          <w:p w:rsidR="009B3007" w:rsidRPr="002D5D21" w:rsidRDefault="002D5D21" w:rsidP="002D5D21">
            <w:pPr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Observation</w:t>
            </w:r>
            <w:r>
              <w:rPr>
                <w:rFonts w:ascii="Nirmala UI" w:hAnsi="Nirmala UI" w:cs="Nirmala UI"/>
              </w:rPr>
              <w:t xml:space="preserve"> Task</w:t>
            </w:r>
          </w:p>
        </w:tc>
      </w:tr>
      <w:tr w:rsidR="009B3007" w:rsidRPr="002D5D21" w:rsidTr="002D5D21">
        <w:trPr>
          <w:cantSplit/>
          <w:trHeight w:val="405"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9B3007" w:rsidRPr="002D5D21" w:rsidRDefault="009B3007" w:rsidP="002D5D21">
            <w:pPr>
              <w:tabs>
                <w:tab w:val="left" w:pos="3165"/>
              </w:tabs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ab/>
              <w:t>Elements and Performance Criteria</w:t>
            </w:r>
          </w:p>
        </w:tc>
        <w:tc>
          <w:tcPr>
            <w:tcW w:w="2005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9B3007" w:rsidRPr="002D5D21" w:rsidRDefault="009B3007" w:rsidP="002D5D21">
            <w:p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Element 1: Develop ideas for creative work</w:t>
            </w:r>
          </w:p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 Identify, organise and review</w:t>
            </w:r>
            <w:bookmarkStart w:id="0" w:name="_GoBack"/>
            <w:bookmarkEnd w:id="0"/>
            <w:r w:rsidRPr="002D5D21">
              <w:rPr>
                <w:rFonts w:ascii="Nirmala UI" w:hAnsi="Nirmala UI" w:cs="Nirmala UI"/>
              </w:rPr>
              <w:t xml:space="preserve"> information from a range of sources to help develop ideas for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1.1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iCs/>
              </w:rPr>
            </w:pPr>
            <w:r w:rsidRPr="002D5D21">
              <w:rPr>
                <w:rFonts w:ascii="Nirmala UI" w:hAnsi="Nirmala UI" w:cs="Nirmala UI"/>
                <w:iCs/>
              </w:rPr>
              <w:t>1.2 Refine ideas and goals for work using tools and techniques specific to the creative work form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1.2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Q5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2, 3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iCs/>
              </w:rPr>
            </w:pPr>
            <w:r w:rsidRPr="002D5D21">
              <w:rPr>
                <w:rFonts w:ascii="Nirmala UI" w:hAnsi="Nirmala UI" w:cs="Nirmala UI"/>
                <w:iCs/>
              </w:rPr>
              <w:t>1.3 Present and discuss different options for work with key people, seeking their help if required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1.3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  <w:iCs/>
              </w:rPr>
            </w:pPr>
            <w:r w:rsidRPr="002D5D21">
              <w:rPr>
                <w:rFonts w:ascii="Nirmala UI" w:hAnsi="Nirmala UI" w:cs="Nirmala UI"/>
                <w:iCs/>
              </w:rPr>
              <w:t>1.4 Choose final ideas and techniques for work in consultation with others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1.4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lastRenderedPageBreak/>
              <w:t>Element 2: Prepare for creative work</w:t>
            </w:r>
          </w:p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2.1 Identify and obtain tools, equipment and materials needed to develop creative ideas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2.1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2.2 Prepare tools, equipment and materials safely and sustainably according to relevant procedures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2.2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2.3 Set up a clean and safe work space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2.3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Element 3: Develop creative work</w:t>
            </w:r>
          </w:p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3.1 Identify and follow steps required to develop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3.1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3.2 Test proposed techniques to determine the effects they achieve and how they support ideas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3.2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Q5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9B3007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3.3 Apply confirmed techniques to develop creative work, using tools, equipment and materials safely and sustainably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3.3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Element 4: Review and finalise creative process</w:t>
            </w:r>
          </w:p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4.1 Seek feedback from key people about the work process and the completed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4.1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11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4.2 Identify ways to develop own creative work practice in response to feedback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4.2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Q6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11</w:t>
            </w:r>
          </w:p>
        </w:tc>
      </w:tr>
      <w:tr w:rsidR="002D5D21" w:rsidRPr="002D5D21" w:rsidTr="002D5D21">
        <w:trPr>
          <w:cantSplit/>
        </w:trPr>
        <w:tc>
          <w:tcPr>
            <w:tcW w:w="1692" w:type="dxa"/>
            <w:vMerge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762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</w:pPr>
            <w:r w:rsidRPr="002D5D21">
              <w:rPr>
                <w:rStyle w:val="TableHeadingBlueitalic8pt"/>
                <w:rFonts w:ascii="Nirmala UI" w:hAnsi="Nirmala UI" w:cs="Nirmala UI"/>
                <w:i w:val="0"/>
                <w:color w:val="auto"/>
                <w:sz w:val="22"/>
                <w:szCs w:val="20"/>
              </w:rPr>
              <w:t>4.3 Clean and maintain tools and work area, dispose of waste sustainably, and store equipment and materials safely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PC 4.3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98FF98" w:themeFill="accent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7, 8, 9, 10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Performance Evidence/Required Skills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develop ideas to inform own creative work through a process of collecting, organising and reviewing information and discussing it with others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PE1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1, 2, 3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make simple creative work, using limited range of art and design techniques and tools, equipment and materials safely and sustainably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PE2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discuss and communicate ideas with others during creative process, using oral, visual and written means to convey intent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PE3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2, 3, 6, 11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clean and maintain work area, and tools and equipment used, in a safe and sustainable manner.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PE4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7, 8, 9, 10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Knowledge Evidence/Required Knowledge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discuss sources of information on ideas and techniques for own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KE1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discuss methods to develop, refine and communicate ideas for own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KE2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Q4, Q5, Q6, 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2, 3</w:t>
            </w: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describe procedures for recycling and disposing of material used in the creative process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KE3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9B3007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Lines/>
              <w:spacing w:before="10" w:after="10" w:line="360" w:lineRule="auto"/>
              <w:rPr>
                <w:rFonts w:ascii="Nirmala UI" w:hAnsi="Nirmala UI" w:cs="Nirmala UI"/>
                <w:sz w:val="22"/>
              </w:rPr>
            </w:pPr>
            <w:r w:rsidRPr="002D5D21">
              <w:rPr>
                <w:rFonts w:ascii="Nirmala UI" w:hAnsi="Nirmala UI" w:cs="Nirmala UI"/>
                <w:sz w:val="22"/>
              </w:rPr>
              <w:t>describe safety requirements and procedures relevant to chosen area of creative practice.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KE4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Foundation Skills/Employability Skills</w:t>
            </w:r>
          </w:p>
        </w:tc>
        <w:tc>
          <w:tcPr>
            <w:tcW w:w="2005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Skill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Performance Criteria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Description</w:t>
            </w:r>
          </w:p>
        </w:tc>
        <w:tc>
          <w:tcPr>
            <w:tcW w:w="2005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  <w:tc>
          <w:tcPr>
            <w:tcW w:w="2006" w:type="dxa"/>
            <w:vMerge/>
            <w:tcBorders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Learning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4.2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Considers opinions of others to improve and enhance own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3 - Learning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Q3, Q5, 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1, 2, 11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Reading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Interprets and compares information from relevant sources to identify ideas and techniques suitable to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3 - Reading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Oral Communication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1.3, 1.4, 4.1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Clearly describes ideas and techniques, using language appropriate to audience and context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Oral Communication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  <w:vertAlign w:val="superscript"/>
              </w:rPr>
            </w:pPr>
            <w:r w:rsidRPr="002D5D21">
              <w:rPr>
                <w:rFonts w:ascii="Nirmala UI" w:hAnsi="Nirmala UI" w:cs="Nirmala UI"/>
              </w:rPr>
              <w:t>Q1-11</w:t>
            </w:r>
            <w:r w:rsidRPr="002D5D21">
              <w:rPr>
                <w:rFonts w:ascii="Nirmala UI" w:hAnsi="Nirmala UI" w:cs="Nirmala UI"/>
                <w:vertAlign w:val="superscript"/>
              </w:rPr>
              <w:t>*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2, 6, 11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Oral Communication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1.3, 1.4, 4.1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  <w:b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Listens and discusses ideas and issues with others, asking questions to clarify and confirm understanding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Oral Communication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2, 6, 11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Numeracy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Measures familiar quantities using simple and routine measuring instruments and units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3 - Numeracy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5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Numeracy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Interprets simple mathematical information about equipment and tools used in the creative process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3 - Numeracy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5, 6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Navigate the world of work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2.1, 2.2, 2.3, 3.3, 4.3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Takes responsibility for preparing work area and using resources according to workplace procedures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Navigate the world of work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Q9, Q10,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6, 7, 11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Interact with others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1.3, 1.4, 4.1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Works collaboratively with others to identify and communicate relevant oral, visual and written information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Interact with others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Q8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2, 6, 11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lastRenderedPageBreak/>
              <w:t>Get the work done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1.1, 1.2, 1.4, 2.1, 3.1, 3.2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pStyle w:val="MajorTableText"/>
              <w:keepNext/>
              <w:keepLines/>
              <w:spacing w:before="10" w:after="10" w:line="360" w:lineRule="auto"/>
              <w:rPr>
                <w:rFonts w:ascii="Nirmala UI" w:hAnsi="Nirmala UI" w:cs="Nirmala UI"/>
                <w:sz w:val="20"/>
              </w:rPr>
            </w:pPr>
            <w:r w:rsidRPr="002D5D21">
              <w:rPr>
                <w:rFonts w:ascii="Nirmala UI" w:hAnsi="Nirmala UI" w:cs="Nirmala UI"/>
                <w:sz w:val="20"/>
              </w:rPr>
              <w:t>Plans and organises work space, methodologies and resource requirements according to creative vision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Get the work done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Q3, Q4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1, 2, 3, 4, 5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Get the work done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1.1, 1.2, 1.4, 2.1, 3.1, 3.2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Identifies and implements a range of routine technical steps with guidance and supervision from relevant people when required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Get the work done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Next/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1813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Get the work done</w:t>
            </w:r>
          </w:p>
        </w:tc>
        <w:tc>
          <w:tcPr>
            <w:tcW w:w="1418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1.1, 1.2, 1.4, 2.1, 3.1, 3.2</w:t>
            </w:r>
          </w:p>
        </w:tc>
        <w:tc>
          <w:tcPr>
            <w:tcW w:w="609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  <w:sz w:val="20"/>
                <w:szCs w:val="20"/>
              </w:rPr>
              <w:t>Experiments with a range of techniques and tools in developing own creative work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Get the work done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Q2, Q3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</w:tcPr>
          <w:p w:rsidR="002D5D21" w:rsidRPr="002D5D21" w:rsidRDefault="002D5D21" w:rsidP="002D5D21">
            <w:pPr>
              <w:keepLines/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6, 10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lastRenderedPageBreak/>
              <w:t>Assessment Conditions/Critical Aspects for Assessment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Description of how the condition/critical aspect was met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Assessment must be conducted in a safe environment where evidence gathered demonstrates consistent performance of typical activities experienced in creative arts industry environments. The assessment environment must include access to: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tools, equipment and materials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If evidence of use of tools is not presented in the Portfolio, then a simulated workspace is created with the candidate in the Observation Task. Assessor to ensure access to all required equipment for the required creative work. 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studio and/or workshop facilities.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If evidence of access to a real workshop or suitable facilities is not presented in the Portfolio, then a simulated workshop is created with the candidate in the Observation Task, or the candidate can provide the assessor access to a real workplace studio or workshop if this is available. 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relevant information sources.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If not evidence of this is provided in the Portfolio, the assessor will provide access to relevant resources in the observation task. This can include (but is not limited to):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Internet Access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Reference books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Magazines and articles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Industry experts such as community artists</w:t>
            </w:r>
          </w:p>
          <w:p w:rsidR="002D5D21" w:rsidRPr="002D5D21" w:rsidRDefault="002D5D21" w:rsidP="002D5D21">
            <w:pPr>
              <w:pStyle w:val="ListParagraph"/>
              <w:keepNext/>
              <w:keepLines/>
              <w:numPr>
                <w:ilvl w:val="0"/>
                <w:numId w:val="48"/>
              </w:numPr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Television shows and documentaries</w:t>
            </w:r>
          </w:p>
        </w:tc>
      </w:tr>
      <w:tr w:rsidR="002D5D21" w:rsidRPr="002D5D21" w:rsidTr="002D5D21">
        <w:trPr>
          <w:cantSplit/>
        </w:trPr>
        <w:tc>
          <w:tcPr>
            <w:tcW w:w="677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lastRenderedPageBreak/>
              <w:t>Assessors of this unit must satisfy the requirements for assessors in applicable vocational educational and training legislation, frameworks and/or standards.</w:t>
            </w:r>
          </w:p>
        </w:tc>
        <w:tc>
          <w:tcPr>
            <w:tcW w:w="856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 xml:space="preserve">All assessors must hold one of the items required by the Standards for Registered Organisations (2015) in item 1, item 2 or item 3 of Schedule 1. Evidence of this will be collected by the RTO before employing the person to provide assessor services. 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Dimensions of Competency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2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50C878" w:themeFill="accent1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5D21">
              <w:rPr>
                <w:rFonts w:ascii="Nirmala UI" w:hAnsi="Nirmala UI" w:cs="Nirmala UI"/>
                <w:b/>
                <w:color w:val="FFFFFF" w:themeColor="background1"/>
              </w:rPr>
              <w:t>Instrument 3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Task Skills: the candidate can perform the skills described in this unit proficiently in isolation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Task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Q4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Task Management Skills: the candidate can perform multiple skills described in this unit simultaneously and proficiently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Task Management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Contingency Management Skills: the candidate has appropriately dealt with problems or variations while displaying the skills described in this unit.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Contingency Management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Q5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Next/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6</w:t>
            </w:r>
          </w:p>
        </w:tc>
      </w:tr>
      <w:tr w:rsidR="002D5D21" w:rsidRPr="002D5D21" w:rsidTr="002D5D21">
        <w:trPr>
          <w:cantSplit/>
        </w:trPr>
        <w:tc>
          <w:tcPr>
            <w:tcW w:w="9321" w:type="dxa"/>
            <w:gridSpan w:val="5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Job Role/Environment Skills: the candidate can engage professionally with others to explain or demonstrate the skills described in this unit.</w:t>
            </w:r>
          </w:p>
        </w:tc>
        <w:tc>
          <w:tcPr>
            <w:tcW w:w="2005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Part 3 – Job Role/Environment Skills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Q7, Q11</w:t>
            </w:r>
          </w:p>
        </w:tc>
        <w:tc>
          <w:tcPr>
            <w:tcW w:w="200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2D5D21" w:rsidRPr="002D5D21" w:rsidRDefault="002D5D21" w:rsidP="002D5D21">
            <w:pPr>
              <w:keepLines/>
              <w:tabs>
                <w:tab w:val="left" w:pos="2595"/>
              </w:tabs>
              <w:spacing w:line="360" w:lineRule="auto"/>
              <w:jc w:val="center"/>
              <w:rPr>
                <w:rFonts w:ascii="Nirmala UI" w:hAnsi="Nirmala UI" w:cs="Nirmala UI"/>
              </w:rPr>
            </w:pPr>
            <w:r w:rsidRPr="002D5D21">
              <w:rPr>
                <w:rFonts w:ascii="Nirmala UI" w:hAnsi="Nirmala UI" w:cs="Nirmala UI"/>
              </w:rPr>
              <w:t>2, 10</w:t>
            </w:r>
          </w:p>
        </w:tc>
      </w:tr>
    </w:tbl>
    <w:p w:rsidR="00613B9E" w:rsidRPr="002D5D21" w:rsidRDefault="00613B9E" w:rsidP="002D5D21">
      <w:pPr>
        <w:spacing w:after="160" w:line="360" w:lineRule="auto"/>
        <w:rPr>
          <w:rFonts w:ascii="Nirmala UI" w:hAnsi="Nirmala UI" w:cs="Nirmala UI"/>
        </w:rPr>
      </w:pPr>
    </w:p>
    <w:sectPr w:rsidR="00613B9E" w:rsidRPr="002D5D21" w:rsidSect="002D5D21">
      <w:headerReference w:type="default" r:id="rId7"/>
      <w:footerReference w:type="default" r:id="rId8"/>
      <w:pgSz w:w="16838" w:h="11906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007" w:rsidRDefault="009B3007" w:rsidP="009B3007">
      <w:pPr>
        <w:spacing w:after="0" w:line="240" w:lineRule="auto"/>
      </w:pPr>
      <w:r>
        <w:separator/>
      </w:r>
    </w:p>
  </w:endnote>
  <w:endnote w:type="continuationSeparator" w:id="0">
    <w:p w:rsidR="009B3007" w:rsidRDefault="009B3007" w:rsidP="009B3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07" w:rsidRPr="002D5D21" w:rsidRDefault="002D5D21" w:rsidP="0093721A">
    <w:pPr>
      <w:pStyle w:val="Footer"/>
      <w:rPr>
        <w:rFonts w:ascii="Nirmala UI" w:hAnsi="Nirmala UI" w:cs="Nirmala UI"/>
        <w:sz w:val="20"/>
      </w:rPr>
    </w:pPr>
    <w:r w:rsidRPr="002D5D21">
      <w:rPr>
        <w:rFonts w:ascii="Nirmala UI" w:hAnsi="Nirmala UI" w:cs="Nirmala UI"/>
        <w:sz w:val="20"/>
        <w:szCs w:val="20"/>
      </w:rPr>
      <w:t>CUAPPR201 Make simple creative work</w:t>
    </w:r>
    <w:r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  <w:t>V1</w:t>
    </w:r>
    <w:r>
      <w:rPr>
        <w:rFonts w:ascii="Nirmala UI" w:hAnsi="Nirmala UI" w:cs="Nirmala UI"/>
        <w:sz w:val="20"/>
        <w:szCs w:val="20"/>
      </w:rPr>
      <w:t>.</w:t>
    </w:r>
    <w:r w:rsidRPr="002D5D21">
      <w:rPr>
        <w:rFonts w:ascii="Nirmala UI" w:hAnsi="Nirmala UI" w:cs="Nirmala UI"/>
        <w:sz w:val="20"/>
        <w:szCs w:val="20"/>
      </w:rPr>
      <w:t>0</w:t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  <w:szCs w:val="20"/>
      </w:rPr>
      <w:tab/>
    </w:r>
    <w:r w:rsidR="0093721A" w:rsidRPr="002D5D21">
      <w:rPr>
        <w:rFonts w:ascii="Nirmala UI" w:hAnsi="Nirmala UI" w:cs="Nirmala UI"/>
        <w:sz w:val="20"/>
      </w:rPr>
      <w:t xml:space="preserve">Page </w:t>
    </w:r>
    <w:r w:rsidR="0093721A" w:rsidRPr="002D5D21">
      <w:rPr>
        <w:rFonts w:ascii="Nirmala UI" w:hAnsi="Nirmala UI" w:cs="Nirmala UI"/>
        <w:sz w:val="20"/>
      </w:rPr>
      <w:fldChar w:fldCharType="begin"/>
    </w:r>
    <w:r w:rsidR="0093721A" w:rsidRPr="002D5D21">
      <w:rPr>
        <w:rFonts w:ascii="Nirmala UI" w:hAnsi="Nirmala UI" w:cs="Nirmala UI"/>
        <w:sz w:val="20"/>
      </w:rPr>
      <w:instrText xml:space="preserve"> PAGE   \* MERGEFORMAT </w:instrText>
    </w:r>
    <w:r w:rsidR="0093721A" w:rsidRPr="002D5D21">
      <w:rPr>
        <w:rFonts w:ascii="Nirmala UI" w:hAnsi="Nirmala UI" w:cs="Nirmala UI"/>
        <w:sz w:val="20"/>
      </w:rPr>
      <w:fldChar w:fldCharType="separate"/>
    </w:r>
    <w:r w:rsidR="004A77A9">
      <w:rPr>
        <w:rFonts w:ascii="Nirmala UI" w:hAnsi="Nirmala UI" w:cs="Nirmala UI"/>
        <w:noProof/>
        <w:sz w:val="20"/>
      </w:rPr>
      <w:t>2</w:t>
    </w:r>
    <w:r w:rsidR="0093721A" w:rsidRPr="002D5D21">
      <w:rPr>
        <w:rFonts w:ascii="Nirmala UI" w:hAnsi="Nirmala UI" w:cs="Nirmala U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007" w:rsidRDefault="009B3007" w:rsidP="009B3007">
      <w:pPr>
        <w:spacing w:after="0" w:line="240" w:lineRule="auto"/>
      </w:pPr>
      <w:r>
        <w:separator/>
      </w:r>
    </w:p>
  </w:footnote>
  <w:footnote w:type="continuationSeparator" w:id="0">
    <w:p w:rsidR="009B3007" w:rsidRDefault="009B3007" w:rsidP="009B3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007" w:rsidRPr="002D5D21" w:rsidRDefault="004A77A9" w:rsidP="0093721A">
    <w:pPr>
      <w:pStyle w:val="Header"/>
      <w:tabs>
        <w:tab w:val="clear" w:pos="9026"/>
        <w:tab w:val="left" w:pos="5670"/>
      </w:tabs>
      <w:rPr>
        <w:rFonts w:ascii="Nirmala UI" w:hAnsi="Nirmala UI" w:cs="Nirmala UI"/>
        <w:sz w:val="20"/>
        <w:szCs w:val="20"/>
      </w:rPr>
    </w:pPr>
    <w:r>
      <w:rPr>
        <w:rFonts w:ascii="Nirmala UI" w:hAnsi="Nirmala UI" w:cs="Nirmala UI"/>
        <w:sz w:val="20"/>
        <w:szCs w:val="20"/>
      </w:rPr>
      <w:t xml:space="preserve">CUAPPR201 </w:t>
    </w:r>
    <w:r w:rsidR="002D5D21" w:rsidRPr="002D5D21">
      <w:rPr>
        <w:rFonts w:ascii="Nirmala UI" w:hAnsi="Nirmala UI" w:cs="Nirmala UI"/>
        <w:sz w:val="20"/>
        <w:szCs w:val="20"/>
      </w:rPr>
      <w:t>Assessment Mapping 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6022"/>
    <w:multiLevelType w:val="hybridMultilevel"/>
    <w:tmpl w:val="980C8F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D00CD"/>
    <w:multiLevelType w:val="hybridMultilevel"/>
    <w:tmpl w:val="CCC68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4632E"/>
    <w:multiLevelType w:val="hybridMultilevel"/>
    <w:tmpl w:val="6F78AF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A25CCE"/>
    <w:multiLevelType w:val="hybridMultilevel"/>
    <w:tmpl w:val="70A4D8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A6509"/>
    <w:multiLevelType w:val="hybridMultilevel"/>
    <w:tmpl w:val="5E984F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67F3A"/>
    <w:multiLevelType w:val="hybridMultilevel"/>
    <w:tmpl w:val="55E6B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4A4E"/>
    <w:multiLevelType w:val="hybridMultilevel"/>
    <w:tmpl w:val="90DE0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78C3"/>
    <w:multiLevelType w:val="hybridMultilevel"/>
    <w:tmpl w:val="339AE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5552A"/>
    <w:multiLevelType w:val="hybridMultilevel"/>
    <w:tmpl w:val="A2423480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B11"/>
    <w:multiLevelType w:val="hybridMultilevel"/>
    <w:tmpl w:val="21BA2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7A1C"/>
    <w:multiLevelType w:val="hybridMultilevel"/>
    <w:tmpl w:val="9F420E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73AF9"/>
    <w:multiLevelType w:val="hybridMultilevel"/>
    <w:tmpl w:val="4522B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670A7"/>
    <w:multiLevelType w:val="hybridMultilevel"/>
    <w:tmpl w:val="018A6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28EF978">
      <w:start w:val="6"/>
      <w:numFmt w:val="bullet"/>
      <w:lvlText w:val="•"/>
      <w:lvlJc w:val="left"/>
      <w:pPr>
        <w:ind w:left="1512" w:hanging="432"/>
      </w:pPr>
      <w:rPr>
        <w:rFonts w:ascii="Calibri" w:eastAsia="Times New Roman" w:hAnsi="Calibri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A2191"/>
    <w:multiLevelType w:val="hybridMultilevel"/>
    <w:tmpl w:val="BABE8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459AC"/>
    <w:multiLevelType w:val="hybridMultilevel"/>
    <w:tmpl w:val="C46E2DB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9327D0"/>
    <w:multiLevelType w:val="hybridMultilevel"/>
    <w:tmpl w:val="FD065B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8031D8"/>
    <w:multiLevelType w:val="hybridMultilevel"/>
    <w:tmpl w:val="B2D40A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34477"/>
    <w:multiLevelType w:val="hybridMultilevel"/>
    <w:tmpl w:val="863C46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840A66"/>
    <w:multiLevelType w:val="hybridMultilevel"/>
    <w:tmpl w:val="49163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06242"/>
    <w:multiLevelType w:val="hybridMultilevel"/>
    <w:tmpl w:val="755A5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F0D4C"/>
    <w:multiLevelType w:val="hybridMultilevel"/>
    <w:tmpl w:val="8998FF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922011B"/>
    <w:multiLevelType w:val="hybridMultilevel"/>
    <w:tmpl w:val="1582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B7D1E"/>
    <w:multiLevelType w:val="hybridMultilevel"/>
    <w:tmpl w:val="65D4DA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B75138"/>
    <w:multiLevelType w:val="hybridMultilevel"/>
    <w:tmpl w:val="1030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82019"/>
    <w:multiLevelType w:val="hybridMultilevel"/>
    <w:tmpl w:val="49CA2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D7D25"/>
    <w:multiLevelType w:val="hybridMultilevel"/>
    <w:tmpl w:val="A9083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D4BE0"/>
    <w:multiLevelType w:val="hybridMultilevel"/>
    <w:tmpl w:val="358CC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0163DE"/>
    <w:multiLevelType w:val="hybridMultilevel"/>
    <w:tmpl w:val="1402D18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4A11BA"/>
    <w:multiLevelType w:val="hybridMultilevel"/>
    <w:tmpl w:val="9A74DB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842BA"/>
    <w:multiLevelType w:val="hybridMultilevel"/>
    <w:tmpl w:val="4D901A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41B9E"/>
    <w:multiLevelType w:val="hybridMultilevel"/>
    <w:tmpl w:val="A2D41E52"/>
    <w:lvl w:ilvl="0" w:tplc="765AEA4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228EF978">
      <w:start w:val="6"/>
      <w:numFmt w:val="bullet"/>
      <w:lvlText w:val="•"/>
      <w:lvlJc w:val="left"/>
      <w:pPr>
        <w:ind w:left="1512" w:hanging="432"/>
      </w:pPr>
      <w:rPr>
        <w:rFonts w:ascii="Calibri" w:eastAsia="Times New Roman" w:hAnsi="Calibri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45364D"/>
    <w:multiLevelType w:val="hybridMultilevel"/>
    <w:tmpl w:val="D6FACA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447FA7"/>
    <w:multiLevelType w:val="hybridMultilevel"/>
    <w:tmpl w:val="0B701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356A57"/>
    <w:multiLevelType w:val="hybridMultilevel"/>
    <w:tmpl w:val="A67A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417F6C"/>
    <w:multiLevelType w:val="hybridMultilevel"/>
    <w:tmpl w:val="B43AC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21B4A"/>
    <w:multiLevelType w:val="hybridMultilevel"/>
    <w:tmpl w:val="5AE0AC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E42B79"/>
    <w:multiLevelType w:val="hybridMultilevel"/>
    <w:tmpl w:val="E78A5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E3716F"/>
    <w:multiLevelType w:val="hybridMultilevel"/>
    <w:tmpl w:val="151AF45A"/>
    <w:lvl w:ilvl="0" w:tplc="0C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8" w15:restartNumberingAfterBreak="0">
    <w:nsid w:val="66372772"/>
    <w:multiLevelType w:val="hybridMultilevel"/>
    <w:tmpl w:val="EEFE2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036CC"/>
    <w:multiLevelType w:val="hybridMultilevel"/>
    <w:tmpl w:val="C57C9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A3C0E"/>
    <w:multiLevelType w:val="hybridMultilevel"/>
    <w:tmpl w:val="2DDE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A11946"/>
    <w:multiLevelType w:val="hybridMultilevel"/>
    <w:tmpl w:val="BABE8A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B2717"/>
    <w:multiLevelType w:val="hybridMultilevel"/>
    <w:tmpl w:val="A2148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54C5"/>
    <w:multiLevelType w:val="hybridMultilevel"/>
    <w:tmpl w:val="B61A8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731434"/>
    <w:multiLevelType w:val="hybridMultilevel"/>
    <w:tmpl w:val="A39C1A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F06CE"/>
    <w:multiLevelType w:val="hybridMultilevel"/>
    <w:tmpl w:val="CF30ED44"/>
    <w:lvl w:ilvl="0" w:tplc="9EDC0F1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7727F2"/>
    <w:multiLevelType w:val="hybridMultilevel"/>
    <w:tmpl w:val="69F442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E6002A"/>
    <w:multiLevelType w:val="hybridMultilevel"/>
    <w:tmpl w:val="E446F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8"/>
  </w:num>
  <w:num w:numId="4">
    <w:abstractNumId w:val="8"/>
  </w:num>
  <w:num w:numId="5">
    <w:abstractNumId w:val="9"/>
  </w:num>
  <w:num w:numId="6">
    <w:abstractNumId w:val="19"/>
  </w:num>
  <w:num w:numId="7">
    <w:abstractNumId w:val="33"/>
  </w:num>
  <w:num w:numId="8">
    <w:abstractNumId w:val="45"/>
  </w:num>
  <w:num w:numId="9">
    <w:abstractNumId w:val="29"/>
  </w:num>
  <w:num w:numId="10">
    <w:abstractNumId w:val="40"/>
  </w:num>
  <w:num w:numId="11">
    <w:abstractNumId w:val="26"/>
  </w:num>
  <w:num w:numId="12">
    <w:abstractNumId w:val="42"/>
  </w:num>
  <w:num w:numId="13">
    <w:abstractNumId w:val="25"/>
  </w:num>
  <w:num w:numId="14">
    <w:abstractNumId w:val="15"/>
  </w:num>
  <w:num w:numId="15">
    <w:abstractNumId w:val="10"/>
  </w:num>
  <w:num w:numId="16">
    <w:abstractNumId w:val="36"/>
  </w:num>
  <w:num w:numId="17">
    <w:abstractNumId w:val="13"/>
  </w:num>
  <w:num w:numId="18">
    <w:abstractNumId w:val="37"/>
  </w:num>
  <w:num w:numId="19">
    <w:abstractNumId w:val="14"/>
  </w:num>
  <w:num w:numId="20">
    <w:abstractNumId w:val="27"/>
  </w:num>
  <w:num w:numId="21">
    <w:abstractNumId w:val="20"/>
  </w:num>
  <w:num w:numId="22">
    <w:abstractNumId w:val="41"/>
  </w:num>
  <w:num w:numId="23">
    <w:abstractNumId w:val="38"/>
  </w:num>
  <w:num w:numId="24">
    <w:abstractNumId w:val="16"/>
  </w:num>
  <w:num w:numId="25">
    <w:abstractNumId w:val="47"/>
  </w:num>
  <w:num w:numId="26">
    <w:abstractNumId w:val="6"/>
  </w:num>
  <w:num w:numId="27">
    <w:abstractNumId w:val="43"/>
  </w:num>
  <w:num w:numId="28">
    <w:abstractNumId w:val="46"/>
  </w:num>
  <w:num w:numId="29">
    <w:abstractNumId w:val="7"/>
  </w:num>
  <w:num w:numId="30">
    <w:abstractNumId w:val="39"/>
  </w:num>
  <w:num w:numId="31">
    <w:abstractNumId w:val="17"/>
  </w:num>
  <w:num w:numId="32">
    <w:abstractNumId w:val="0"/>
  </w:num>
  <w:num w:numId="33">
    <w:abstractNumId w:val="35"/>
  </w:num>
  <w:num w:numId="34">
    <w:abstractNumId w:val="24"/>
  </w:num>
  <w:num w:numId="35">
    <w:abstractNumId w:val="12"/>
  </w:num>
  <w:num w:numId="36">
    <w:abstractNumId w:val="4"/>
  </w:num>
  <w:num w:numId="37">
    <w:abstractNumId w:val="34"/>
  </w:num>
  <w:num w:numId="38">
    <w:abstractNumId w:val="5"/>
  </w:num>
  <w:num w:numId="39">
    <w:abstractNumId w:val="23"/>
  </w:num>
  <w:num w:numId="40">
    <w:abstractNumId w:val="21"/>
  </w:num>
  <w:num w:numId="41">
    <w:abstractNumId w:val="1"/>
  </w:num>
  <w:num w:numId="42">
    <w:abstractNumId w:val="44"/>
  </w:num>
  <w:num w:numId="43">
    <w:abstractNumId w:val="32"/>
  </w:num>
  <w:num w:numId="44">
    <w:abstractNumId w:val="30"/>
  </w:num>
  <w:num w:numId="45">
    <w:abstractNumId w:val="22"/>
  </w:num>
  <w:num w:numId="46">
    <w:abstractNumId w:val="2"/>
  </w:num>
  <w:num w:numId="47">
    <w:abstractNumId w:val="18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5F"/>
    <w:rsid w:val="001A165F"/>
    <w:rsid w:val="002719A1"/>
    <w:rsid w:val="002C4465"/>
    <w:rsid w:val="002D5D21"/>
    <w:rsid w:val="004A77A9"/>
    <w:rsid w:val="00613B9E"/>
    <w:rsid w:val="00847588"/>
    <w:rsid w:val="0089746D"/>
    <w:rsid w:val="0093721A"/>
    <w:rsid w:val="009B3007"/>
    <w:rsid w:val="00CF6856"/>
    <w:rsid w:val="00D91440"/>
    <w:rsid w:val="00E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57DED"/>
  <w15:chartTrackingRefBased/>
  <w15:docId w15:val="{8435BAC8-734B-4571-B4F7-639C310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6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A1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29F5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A16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0C878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165F"/>
    <w:rPr>
      <w:rFonts w:asciiTheme="majorHAnsi" w:eastAsiaTheme="majorEastAsia" w:hAnsiTheme="majorHAnsi" w:cstheme="majorBidi"/>
      <w:b/>
      <w:bCs/>
      <w:color w:val="329F5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165F"/>
    <w:rPr>
      <w:rFonts w:asciiTheme="majorHAnsi" w:eastAsiaTheme="majorEastAsia" w:hAnsiTheme="majorHAnsi" w:cstheme="majorBidi"/>
      <w:b/>
      <w:bCs/>
      <w:color w:val="50C878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A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5F"/>
  </w:style>
  <w:style w:type="paragraph" w:styleId="Footer">
    <w:name w:val="footer"/>
    <w:basedOn w:val="Normal"/>
    <w:link w:val="FooterChar"/>
    <w:uiPriority w:val="99"/>
    <w:unhideWhenUsed/>
    <w:rsid w:val="001A1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5F"/>
  </w:style>
  <w:style w:type="paragraph" w:styleId="BalloonText">
    <w:name w:val="Balloon Text"/>
    <w:basedOn w:val="Normal"/>
    <w:link w:val="BalloonTextChar"/>
    <w:uiPriority w:val="99"/>
    <w:semiHidden/>
    <w:unhideWhenUsed/>
    <w:rsid w:val="001A1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1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16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A16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1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165F"/>
    <w:rPr>
      <w:b/>
      <w:bCs/>
      <w:sz w:val="20"/>
      <w:szCs w:val="20"/>
    </w:rPr>
  </w:style>
  <w:style w:type="paragraph" w:styleId="ListParagraph">
    <w:name w:val="List Paragraph"/>
    <w:basedOn w:val="Normal"/>
    <w:link w:val="ListParagraphChar"/>
    <w:uiPriority w:val="1"/>
    <w:qFormat/>
    <w:rsid w:val="001A165F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1"/>
    <w:rsid w:val="001A165F"/>
  </w:style>
  <w:style w:type="table" w:styleId="TableGrid">
    <w:name w:val="Table Grid"/>
    <w:basedOn w:val="TableNormal"/>
    <w:uiPriority w:val="59"/>
    <w:rsid w:val="001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ze11blacknonbold">
    <w:name w:val="Size 11 black non bold"/>
    <w:basedOn w:val="DefaultParagraphFont"/>
    <w:uiPriority w:val="1"/>
    <w:rsid w:val="001A165F"/>
    <w:rPr>
      <w:rFonts w:ascii="Calibri" w:hAnsi="Calibri"/>
      <w:sz w:val="22"/>
    </w:rPr>
  </w:style>
  <w:style w:type="paragraph" w:customStyle="1" w:styleId="Style1">
    <w:name w:val="Style1"/>
    <w:basedOn w:val="Heading1"/>
    <w:next w:val="Heading1"/>
    <w:link w:val="Style1Char"/>
    <w:qFormat/>
    <w:rsid w:val="001A165F"/>
    <w:pPr>
      <w:spacing w:line="360" w:lineRule="auto"/>
    </w:pPr>
    <w:rPr>
      <w:rFonts w:asciiTheme="minorHAnsi" w:hAnsiTheme="minorHAnsi"/>
      <w:caps/>
      <w:color w:val="auto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1A165F"/>
    <w:rPr>
      <w:rFonts w:eastAsiaTheme="majorEastAsia" w:cstheme="majorBidi"/>
      <w:b/>
      <w:bCs/>
      <w:caps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A165F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A165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A165F"/>
    <w:rPr>
      <w:color w:val="418AB3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1A165F"/>
    <w:pPr>
      <w:spacing w:after="0" w:line="240" w:lineRule="auto"/>
    </w:pPr>
    <w:rPr>
      <w:rFonts w:ascii="Arial Bold" w:hAnsi="Arial Bold" w:cs="Arial"/>
      <w:b/>
      <w:caps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A165F"/>
    <w:pPr>
      <w:spacing w:after="0" w:line="240" w:lineRule="auto"/>
    </w:pPr>
  </w:style>
  <w:style w:type="table" w:customStyle="1" w:styleId="TableGrid6">
    <w:name w:val="Table Grid6"/>
    <w:basedOn w:val="TableNormal"/>
    <w:next w:val="TableGrid"/>
    <w:uiPriority w:val="59"/>
    <w:rsid w:val="001A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A16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A1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rsid w:val="001A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1A165F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A165F"/>
    <w:rPr>
      <w:rFonts w:ascii="Times New Roman" w:eastAsia="Times New Roman" w:hAnsi="Times New Roman" w:cs="Times New Roman"/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165F"/>
    <w:rPr>
      <w:color w:val="F6920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A165F"/>
  </w:style>
  <w:style w:type="character" w:styleId="Emphasis">
    <w:name w:val="Emphasis"/>
    <w:basedOn w:val="DefaultParagraphFont"/>
    <w:uiPriority w:val="20"/>
    <w:qFormat/>
    <w:rsid w:val="001A165F"/>
    <w:rPr>
      <w:i/>
      <w:iCs/>
    </w:rPr>
  </w:style>
  <w:style w:type="table" w:customStyle="1" w:styleId="TableGrid3">
    <w:name w:val="Table Grid3"/>
    <w:basedOn w:val="TableNormal"/>
    <w:next w:val="TableGrid"/>
    <w:uiPriority w:val="59"/>
    <w:rsid w:val="001A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A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1A165F"/>
    <w:rPr>
      <w:color w:val="8080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165F"/>
    <w:pPr>
      <w:spacing w:line="240" w:lineRule="auto"/>
    </w:pPr>
    <w:rPr>
      <w:i/>
      <w:iCs/>
      <w:color w:val="5E5E5E" w:themeColor="text2"/>
      <w:sz w:val="18"/>
      <w:szCs w:val="18"/>
    </w:rPr>
  </w:style>
  <w:style w:type="character" w:customStyle="1" w:styleId="TableHeadingBlueitalic8pt">
    <w:name w:val="_Table Heading Blue italic 8 pt"/>
    <w:basedOn w:val="DefaultParagraphFont"/>
    <w:rsid w:val="002D5D21"/>
    <w:rPr>
      <w:rFonts w:ascii="Verdana" w:hAnsi="Verdana" w:cs="Times New Roman"/>
      <w:i/>
      <w:iCs/>
      <w:color w:val="0000FF"/>
      <w:sz w:val="16"/>
    </w:rPr>
  </w:style>
  <w:style w:type="paragraph" w:customStyle="1" w:styleId="MajorTableText">
    <w:name w:val="Major Table Text"/>
    <w:basedOn w:val="Normal"/>
    <w:link w:val="MajorTableTextChar"/>
    <w:rsid w:val="002D5D21"/>
    <w:pPr>
      <w:spacing w:before="60" w:after="60" w:line="240" w:lineRule="auto"/>
    </w:pPr>
    <w:rPr>
      <w:rFonts w:ascii="Palatino" w:eastAsia="Times New Roman" w:hAnsi="Palatino" w:cs="Times New Roman"/>
      <w:sz w:val="18"/>
      <w:szCs w:val="20"/>
      <w:lang w:eastAsia="en-AU"/>
    </w:rPr>
  </w:style>
  <w:style w:type="character" w:customStyle="1" w:styleId="MajorTableTextChar">
    <w:name w:val="Major Table Text Char"/>
    <w:basedOn w:val="DefaultParagraphFont"/>
    <w:link w:val="MajorTableText"/>
    <w:locked/>
    <w:rsid w:val="002D5D21"/>
    <w:rPr>
      <w:rFonts w:ascii="Palatino" w:eastAsia="Times New Roman" w:hAnsi="Palatino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3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AEASS40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50C878"/>
      </a:accent1>
      <a:accent2>
        <a:srgbClr val="98FF98"/>
      </a:accent2>
      <a:accent3>
        <a:srgbClr val="54BD3B"/>
      </a:accent3>
      <a:accent4>
        <a:srgbClr val="557FB1"/>
      </a:accent4>
      <a:accent5>
        <a:srgbClr val="FFFFFF"/>
      </a:accent5>
      <a:accent6>
        <a:srgbClr val="FFFFFF"/>
      </a:accent6>
      <a:hlink>
        <a:srgbClr val="418AB3"/>
      </a:hlink>
      <a:folHlink>
        <a:srgbClr val="F692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</dc:creator>
  <cp:keywords/>
  <dc:description/>
  <cp:lastModifiedBy>TUBBY, Michael</cp:lastModifiedBy>
  <cp:revision>2</cp:revision>
  <dcterms:created xsi:type="dcterms:W3CDTF">2018-08-13T03:38:00Z</dcterms:created>
  <dcterms:modified xsi:type="dcterms:W3CDTF">2019-01-28T21:49:00Z</dcterms:modified>
</cp:coreProperties>
</file>