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5269" w:rsidRDefault="00995269" w:rsidP="00995269">
      <w:pPr>
        <w:spacing w:after="0" w:line="360" w:lineRule="auto"/>
      </w:pPr>
      <w:bookmarkStart w:id="0" w:name="_GoBack"/>
      <w:bookmarkEnd w:id="0"/>
    </w:p>
    <w:p w:rsidR="00995269" w:rsidRDefault="00995269" w:rsidP="00995269">
      <w:pPr>
        <w:spacing w:after="0" w:line="360" w:lineRule="auto"/>
      </w:pPr>
    </w:p>
    <w:p w:rsidR="00995269" w:rsidRDefault="00995269" w:rsidP="00995269">
      <w:pPr>
        <w:spacing w:after="0" w:line="360" w:lineRule="auto"/>
      </w:pPr>
    </w:p>
    <w:p w:rsidR="00995269" w:rsidRDefault="00995269" w:rsidP="00995269">
      <w:pPr>
        <w:spacing w:after="0" w:line="360" w:lineRule="auto"/>
      </w:pPr>
    </w:p>
    <w:p w:rsidR="00995269" w:rsidRDefault="00995269" w:rsidP="00995269">
      <w:pPr>
        <w:spacing w:after="0" w:line="360" w:lineRule="auto"/>
      </w:pPr>
    </w:p>
    <w:p w:rsidR="00995269" w:rsidRDefault="00995269" w:rsidP="00995269">
      <w:pPr>
        <w:spacing w:after="0" w:line="360" w:lineRule="auto"/>
      </w:pPr>
    </w:p>
    <w:p w:rsidR="00995269" w:rsidRDefault="00995269" w:rsidP="00995269">
      <w:pPr>
        <w:spacing w:after="0" w:line="360" w:lineRule="auto"/>
      </w:pPr>
    </w:p>
    <w:p w:rsidR="00995269" w:rsidRDefault="00995269" w:rsidP="00995269">
      <w:pPr>
        <w:spacing w:after="0" w:line="360" w:lineRule="auto"/>
      </w:pPr>
    </w:p>
    <w:p w:rsidR="00995269" w:rsidRDefault="00995269" w:rsidP="00995269">
      <w:pPr>
        <w:spacing w:after="0" w:line="360" w:lineRule="auto"/>
      </w:pPr>
    </w:p>
    <w:p w:rsidR="00995269" w:rsidRDefault="00995269" w:rsidP="00995269">
      <w:pPr>
        <w:spacing w:after="0" w:line="360" w:lineRule="auto"/>
      </w:pPr>
    </w:p>
    <w:p w:rsidR="00995269" w:rsidRDefault="00995269" w:rsidP="00995269">
      <w:pPr>
        <w:spacing w:after="0" w:line="360" w:lineRule="auto"/>
      </w:pPr>
    </w:p>
    <w:p w:rsidR="00995269" w:rsidRDefault="00995269" w:rsidP="00995269">
      <w:pPr>
        <w:spacing w:after="0" w:line="360" w:lineRule="auto"/>
      </w:pPr>
    </w:p>
    <w:p w:rsidR="00995269" w:rsidRPr="00995269" w:rsidRDefault="00995269" w:rsidP="00995269">
      <w:pPr>
        <w:spacing w:after="0" w:line="360" w:lineRule="auto"/>
        <w:jc w:val="center"/>
        <w:rPr>
          <w:b/>
          <w:caps/>
          <w:sz w:val="32"/>
          <w:szCs w:val="32"/>
        </w:rPr>
      </w:pPr>
      <w:r w:rsidRPr="00995269">
        <w:rPr>
          <w:b/>
          <w:caps/>
          <w:sz w:val="32"/>
          <w:szCs w:val="32"/>
        </w:rPr>
        <w:t xml:space="preserve">BSBADM406 Organise business travel </w:t>
      </w:r>
    </w:p>
    <w:p w:rsidR="00995269" w:rsidRDefault="00995269" w:rsidP="00995269">
      <w:pPr>
        <w:spacing w:after="0" w:line="360" w:lineRule="auto"/>
      </w:pPr>
    </w:p>
    <w:p w:rsidR="000563D8" w:rsidRDefault="00841E4C" w:rsidP="00995269">
      <w:pPr>
        <w:pStyle w:val="Heading1"/>
      </w:pPr>
      <w:bookmarkStart w:id="1" w:name="_Toc460234742"/>
      <w:r>
        <w:t>ASSESSOR GUIDE</w:t>
      </w:r>
      <w:r w:rsidR="00995269">
        <w:t xml:space="preserve">: WRITTEN QUESTIONNAIRE </w:t>
      </w:r>
    </w:p>
    <w:p w:rsidR="00995269" w:rsidRDefault="000563D8" w:rsidP="00995269">
      <w:pPr>
        <w:pStyle w:val="Heading1"/>
      </w:pPr>
      <w:r>
        <w:t xml:space="preserve">Version </w:t>
      </w:r>
      <w:r w:rsidR="00995269">
        <w:t>1.0</w:t>
      </w:r>
      <w:bookmarkEnd w:id="1"/>
    </w:p>
    <w:p w:rsidR="001C5B05" w:rsidRDefault="001C5B05"/>
    <w:p w:rsidR="00995269" w:rsidRDefault="00995269">
      <w:r>
        <w:br w:type="page"/>
      </w:r>
    </w:p>
    <w:p w:rsidR="00841E4C" w:rsidRPr="00E6371F" w:rsidRDefault="00841E4C" w:rsidP="00841E4C">
      <w:pPr>
        <w:spacing w:after="0" w:line="360" w:lineRule="auto"/>
        <w:rPr>
          <w:b/>
        </w:rPr>
      </w:pPr>
      <w:r w:rsidRPr="00E6371F">
        <w:rPr>
          <w:b/>
        </w:rPr>
        <w:lastRenderedPageBreak/>
        <w:t>Assessor instruction</w:t>
      </w:r>
      <w:r>
        <w:rPr>
          <w:b/>
        </w:rPr>
        <w:t>s</w:t>
      </w:r>
      <w:r w:rsidRPr="00E6371F">
        <w:rPr>
          <w:b/>
        </w:rPr>
        <w:t>:</w:t>
      </w:r>
    </w:p>
    <w:p w:rsidR="00841E4C" w:rsidRDefault="00841E4C" w:rsidP="00841E4C">
      <w:pPr>
        <w:spacing w:line="360" w:lineRule="auto"/>
      </w:pPr>
      <w:r>
        <w:t xml:space="preserve">Benchmark responses of the questions are in </w:t>
      </w:r>
      <w:r>
        <w:rPr>
          <w:color w:val="FF0000"/>
        </w:rPr>
        <w:t>red font</w:t>
      </w:r>
      <w:r>
        <w:t xml:space="preserve">. The assessor must mark the learner’s work in accordance with the benchmark responses below. The assessor must provide feedback on all written questions and, if the learner has not met the minimum benchmark response for a question, must provide additional guidance to the learner. The assessor must ensure that the learner has attempted all questions in the written questionnaire. Only if confirmed prior to the assessment, the learner can have access to the learner materials to assist in completing the written questionnaire. </w:t>
      </w:r>
    </w:p>
    <w:p w:rsidR="00841E4C" w:rsidRDefault="00841E4C" w:rsidP="00841E4C">
      <w:pPr>
        <w:widowControl w:val="0"/>
        <w:spacing w:after="0" w:line="360" w:lineRule="auto"/>
      </w:pPr>
      <w:r>
        <w:t>The assessor must complete the assessment record (located in the assessment instrument) and provide an overall result of satisfactory or not yet satisfactory. This result must be given back to the learner within ten (10) business days via email. Assessment records must be retained for at least six (6) months on the company server in accordance with ASQA requirements in case of an audit. The assessor must notify the administration department via email of the learner’s outcome on this assessment instrument as per organisational policy and procedure.</w:t>
      </w:r>
    </w:p>
    <w:p w:rsidR="00841E4C" w:rsidRDefault="00841E4C" w:rsidP="00841E4C">
      <w:pPr>
        <w:widowControl w:val="0"/>
        <w:spacing w:after="0" w:line="360" w:lineRule="auto"/>
      </w:pPr>
    </w:p>
    <w:tbl>
      <w:tblPr>
        <w:tblStyle w:val="TableGrid"/>
        <w:tblW w:w="0" w:type="auto"/>
        <w:tblInd w:w="-318" w:type="dxa"/>
        <w:tblLayout w:type="fixed"/>
        <w:tblLook w:val="04A0" w:firstRow="1" w:lastRow="0" w:firstColumn="1" w:lastColumn="0" w:noHBand="0" w:noVBand="1"/>
      </w:tblPr>
      <w:tblGrid>
        <w:gridCol w:w="2694"/>
        <w:gridCol w:w="3828"/>
        <w:gridCol w:w="567"/>
        <w:gridCol w:w="567"/>
        <w:gridCol w:w="2268"/>
      </w:tblGrid>
      <w:tr w:rsidR="00841E4C" w:rsidTr="009A5504">
        <w:tc>
          <w:tcPr>
            <w:tcW w:w="2694" w:type="dxa"/>
            <w:vMerge w:val="restart"/>
            <w:shd w:val="clear" w:color="auto" w:fill="A8D08D" w:themeFill="accent6" w:themeFillTint="99"/>
            <w:vAlign w:val="center"/>
          </w:tcPr>
          <w:p w:rsidR="00841E4C" w:rsidRPr="004A5267" w:rsidRDefault="00841E4C" w:rsidP="009A5504">
            <w:pPr>
              <w:spacing w:after="0" w:line="360" w:lineRule="auto"/>
              <w:jc w:val="center"/>
              <w:rPr>
                <w:b/>
              </w:rPr>
            </w:pPr>
            <w:r>
              <w:rPr>
                <w:b/>
              </w:rPr>
              <w:t>Question</w:t>
            </w:r>
          </w:p>
        </w:tc>
        <w:tc>
          <w:tcPr>
            <w:tcW w:w="3828" w:type="dxa"/>
            <w:vMerge w:val="restart"/>
            <w:shd w:val="clear" w:color="auto" w:fill="A8D08D" w:themeFill="accent6" w:themeFillTint="99"/>
            <w:vAlign w:val="center"/>
          </w:tcPr>
          <w:p w:rsidR="00841E4C" w:rsidRPr="004A5267" w:rsidRDefault="00841E4C" w:rsidP="009A5504">
            <w:pPr>
              <w:spacing w:after="0" w:line="360" w:lineRule="auto"/>
              <w:jc w:val="center"/>
              <w:rPr>
                <w:b/>
              </w:rPr>
            </w:pPr>
            <w:r>
              <w:rPr>
                <w:b/>
              </w:rPr>
              <w:t>Benchmark Response</w:t>
            </w:r>
          </w:p>
        </w:tc>
        <w:tc>
          <w:tcPr>
            <w:tcW w:w="3402" w:type="dxa"/>
            <w:gridSpan w:val="3"/>
            <w:shd w:val="clear" w:color="auto" w:fill="A8D08D" w:themeFill="accent6" w:themeFillTint="99"/>
          </w:tcPr>
          <w:p w:rsidR="00841E4C" w:rsidRPr="004A5267" w:rsidRDefault="00841E4C" w:rsidP="009A5504">
            <w:pPr>
              <w:widowControl w:val="0"/>
              <w:spacing w:after="0" w:line="360" w:lineRule="auto"/>
              <w:jc w:val="center"/>
              <w:rPr>
                <w:b/>
              </w:rPr>
            </w:pPr>
            <w:r w:rsidRPr="004A5267">
              <w:rPr>
                <w:b/>
              </w:rPr>
              <w:t>Result (Assessor use only)</w:t>
            </w:r>
          </w:p>
        </w:tc>
      </w:tr>
      <w:tr w:rsidR="00841E4C" w:rsidTr="009A5504">
        <w:tc>
          <w:tcPr>
            <w:tcW w:w="2694" w:type="dxa"/>
            <w:vMerge/>
          </w:tcPr>
          <w:p w:rsidR="00841E4C" w:rsidRDefault="00841E4C" w:rsidP="009A5504">
            <w:pPr>
              <w:widowControl w:val="0"/>
              <w:spacing w:after="0" w:line="360" w:lineRule="auto"/>
            </w:pPr>
          </w:p>
        </w:tc>
        <w:tc>
          <w:tcPr>
            <w:tcW w:w="3828" w:type="dxa"/>
            <w:vMerge/>
          </w:tcPr>
          <w:p w:rsidR="00841E4C" w:rsidRDefault="00841E4C" w:rsidP="009A5504">
            <w:pPr>
              <w:widowControl w:val="0"/>
              <w:spacing w:after="0" w:line="360" w:lineRule="auto"/>
            </w:pPr>
          </w:p>
        </w:tc>
        <w:tc>
          <w:tcPr>
            <w:tcW w:w="567" w:type="dxa"/>
            <w:shd w:val="clear" w:color="auto" w:fill="E2EFD9" w:themeFill="accent6" w:themeFillTint="33"/>
          </w:tcPr>
          <w:p w:rsidR="00841E4C" w:rsidRDefault="00841E4C" w:rsidP="009A5504">
            <w:pPr>
              <w:widowControl w:val="0"/>
              <w:spacing w:after="0" w:line="360" w:lineRule="auto"/>
              <w:jc w:val="center"/>
            </w:pPr>
            <w:r>
              <w:t>S</w:t>
            </w:r>
          </w:p>
        </w:tc>
        <w:tc>
          <w:tcPr>
            <w:tcW w:w="567" w:type="dxa"/>
            <w:shd w:val="clear" w:color="auto" w:fill="E2EFD9" w:themeFill="accent6" w:themeFillTint="33"/>
          </w:tcPr>
          <w:p w:rsidR="00841E4C" w:rsidRDefault="00841E4C" w:rsidP="009A5504">
            <w:pPr>
              <w:widowControl w:val="0"/>
              <w:spacing w:after="0" w:line="360" w:lineRule="auto"/>
              <w:jc w:val="center"/>
            </w:pPr>
            <w:r>
              <w:t>NYS</w:t>
            </w:r>
          </w:p>
        </w:tc>
        <w:tc>
          <w:tcPr>
            <w:tcW w:w="2268" w:type="dxa"/>
            <w:shd w:val="clear" w:color="auto" w:fill="E2EFD9" w:themeFill="accent6" w:themeFillTint="33"/>
          </w:tcPr>
          <w:p w:rsidR="00841E4C" w:rsidRDefault="00841E4C" w:rsidP="009A5504">
            <w:pPr>
              <w:widowControl w:val="0"/>
              <w:spacing w:after="0" w:line="360" w:lineRule="auto"/>
              <w:jc w:val="center"/>
            </w:pPr>
            <w:r>
              <w:t>Comment</w:t>
            </w:r>
          </w:p>
        </w:tc>
      </w:tr>
      <w:tr w:rsidR="00841E4C" w:rsidTr="009A5504">
        <w:tc>
          <w:tcPr>
            <w:tcW w:w="2694" w:type="dxa"/>
            <w:shd w:val="clear" w:color="auto" w:fill="E2EFD9" w:themeFill="accent6" w:themeFillTint="33"/>
          </w:tcPr>
          <w:p w:rsidR="00841E4C" w:rsidRDefault="00841E4C" w:rsidP="009A5504">
            <w:pPr>
              <w:widowControl w:val="0"/>
              <w:spacing w:after="0" w:line="360" w:lineRule="auto"/>
            </w:pPr>
            <w:r>
              <w:t>1. Why is it important to make travel arrangements in accordance with an organisation’s policies and procedures?</w:t>
            </w:r>
          </w:p>
        </w:tc>
        <w:tc>
          <w:tcPr>
            <w:tcW w:w="3828" w:type="dxa"/>
          </w:tcPr>
          <w:p w:rsidR="00841E4C" w:rsidRPr="005F6FEE" w:rsidRDefault="00841E4C" w:rsidP="009A5504">
            <w:pPr>
              <w:widowControl w:val="0"/>
              <w:spacing w:after="0" w:line="360" w:lineRule="auto"/>
              <w:rPr>
                <w:color w:val="FF0000"/>
              </w:rPr>
            </w:pPr>
            <w:r w:rsidRPr="005F6FEE">
              <w:rPr>
                <w:color w:val="FF0000"/>
              </w:rPr>
              <w:t>Understanding each person’s requirements helps you to accommodate health and safety needs as well as personal preferences. Different organisations have different ways of organising business travel – anything different to this might go against company guidelines and cause negative indirect effects.</w:t>
            </w:r>
          </w:p>
        </w:tc>
        <w:tc>
          <w:tcPr>
            <w:tcW w:w="567" w:type="dxa"/>
          </w:tcPr>
          <w:p w:rsidR="00841E4C" w:rsidRDefault="00841E4C" w:rsidP="009A5504">
            <w:pPr>
              <w:widowControl w:val="0"/>
              <w:spacing w:after="0" w:line="360" w:lineRule="auto"/>
            </w:pPr>
          </w:p>
        </w:tc>
        <w:tc>
          <w:tcPr>
            <w:tcW w:w="567" w:type="dxa"/>
          </w:tcPr>
          <w:p w:rsidR="00841E4C" w:rsidRDefault="00841E4C" w:rsidP="009A5504">
            <w:pPr>
              <w:widowControl w:val="0"/>
              <w:spacing w:after="0" w:line="360" w:lineRule="auto"/>
            </w:pPr>
          </w:p>
        </w:tc>
        <w:tc>
          <w:tcPr>
            <w:tcW w:w="2268" w:type="dxa"/>
          </w:tcPr>
          <w:p w:rsidR="00841E4C" w:rsidRDefault="00841E4C" w:rsidP="009A5504">
            <w:pPr>
              <w:widowControl w:val="0"/>
              <w:spacing w:after="0" w:line="360" w:lineRule="auto"/>
            </w:pPr>
          </w:p>
        </w:tc>
      </w:tr>
      <w:tr w:rsidR="00841E4C" w:rsidTr="009A5504">
        <w:tc>
          <w:tcPr>
            <w:tcW w:w="2694" w:type="dxa"/>
            <w:shd w:val="clear" w:color="auto" w:fill="E2EFD9" w:themeFill="accent6" w:themeFillTint="33"/>
          </w:tcPr>
          <w:p w:rsidR="00841E4C" w:rsidRDefault="00841E4C" w:rsidP="009A5504">
            <w:pPr>
              <w:widowControl w:val="0"/>
              <w:spacing w:after="0" w:line="360" w:lineRule="auto"/>
            </w:pPr>
            <w:r>
              <w:t>2. List at least three documents which are commonly required on a business trip.</w:t>
            </w:r>
          </w:p>
        </w:tc>
        <w:tc>
          <w:tcPr>
            <w:tcW w:w="3828" w:type="dxa"/>
          </w:tcPr>
          <w:p w:rsidR="00841E4C" w:rsidRPr="005F6FEE" w:rsidRDefault="00841E4C" w:rsidP="009A5504">
            <w:pPr>
              <w:widowControl w:val="0"/>
              <w:spacing w:after="0" w:line="360" w:lineRule="auto"/>
              <w:rPr>
                <w:color w:val="FF0000"/>
              </w:rPr>
            </w:pPr>
            <w:r w:rsidRPr="005F6FEE">
              <w:rPr>
                <w:color w:val="FF0000"/>
              </w:rPr>
              <w:t>Documents can include:</w:t>
            </w:r>
          </w:p>
          <w:p w:rsidR="00841E4C" w:rsidRPr="005F6FEE" w:rsidRDefault="00841E4C" w:rsidP="00841E4C">
            <w:pPr>
              <w:pStyle w:val="ListParagraph"/>
              <w:numPr>
                <w:ilvl w:val="0"/>
                <w:numId w:val="1"/>
              </w:numPr>
              <w:spacing w:line="360" w:lineRule="auto"/>
              <w:rPr>
                <w:color w:val="FF0000"/>
              </w:rPr>
            </w:pPr>
            <w:r w:rsidRPr="005F6FEE">
              <w:rPr>
                <w:color w:val="FF0000"/>
              </w:rPr>
              <w:t>contact person details</w:t>
            </w:r>
          </w:p>
          <w:p w:rsidR="00841E4C" w:rsidRPr="005F6FEE" w:rsidRDefault="00841E4C" w:rsidP="00841E4C">
            <w:pPr>
              <w:pStyle w:val="ListParagraph"/>
              <w:numPr>
                <w:ilvl w:val="0"/>
                <w:numId w:val="1"/>
              </w:numPr>
              <w:spacing w:line="360" w:lineRule="auto"/>
              <w:rPr>
                <w:color w:val="FF0000"/>
              </w:rPr>
            </w:pPr>
            <w:r w:rsidRPr="005F6FEE">
              <w:rPr>
                <w:color w:val="FF0000"/>
              </w:rPr>
              <w:t>daily itineraries with appointments, arrival and departure times, accommodation details</w:t>
            </w:r>
          </w:p>
          <w:p w:rsidR="00841E4C" w:rsidRPr="005F6FEE" w:rsidRDefault="00841E4C" w:rsidP="00841E4C">
            <w:pPr>
              <w:pStyle w:val="ListParagraph"/>
              <w:numPr>
                <w:ilvl w:val="0"/>
                <w:numId w:val="1"/>
              </w:numPr>
              <w:spacing w:line="360" w:lineRule="auto"/>
              <w:rPr>
                <w:color w:val="FF0000"/>
              </w:rPr>
            </w:pPr>
            <w:r w:rsidRPr="005F6FEE">
              <w:rPr>
                <w:color w:val="FF0000"/>
              </w:rPr>
              <w:t>travel diary</w:t>
            </w:r>
          </w:p>
          <w:p w:rsidR="00841E4C" w:rsidRPr="005F6FEE" w:rsidRDefault="00841E4C" w:rsidP="00841E4C">
            <w:pPr>
              <w:pStyle w:val="ListParagraph"/>
              <w:numPr>
                <w:ilvl w:val="0"/>
                <w:numId w:val="1"/>
              </w:numPr>
              <w:spacing w:line="360" w:lineRule="auto"/>
              <w:rPr>
                <w:color w:val="FF0000"/>
              </w:rPr>
            </w:pPr>
            <w:r w:rsidRPr="005F6FEE">
              <w:rPr>
                <w:color w:val="FF0000"/>
              </w:rPr>
              <w:t>documents and support material for meetings</w:t>
            </w:r>
          </w:p>
          <w:p w:rsidR="00841E4C" w:rsidRPr="005F6FEE" w:rsidRDefault="00841E4C" w:rsidP="00841E4C">
            <w:pPr>
              <w:pStyle w:val="ListParagraph"/>
              <w:numPr>
                <w:ilvl w:val="0"/>
                <w:numId w:val="1"/>
              </w:numPr>
              <w:spacing w:line="360" w:lineRule="auto"/>
              <w:rPr>
                <w:color w:val="FF0000"/>
              </w:rPr>
            </w:pPr>
            <w:r w:rsidRPr="005F6FEE">
              <w:rPr>
                <w:color w:val="FF0000"/>
              </w:rPr>
              <w:t xml:space="preserve">organisational policy and procedures relating to business </w:t>
            </w:r>
            <w:r w:rsidRPr="005F6FEE">
              <w:rPr>
                <w:color w:val="FF0000"/>
              </w:rPr>
              <w:lastRenderedPageBreak/>
              <w:t>travel</w:t>
            </w:r>
          </w:p>
          <w:p w:rsidR="00841E4C" w:rsidRPr="005F6FEE" w:rsidRDefault="00841E4C" w:rsidP="00841E4C">
            <w:pPr>
              <w:pStyle w:val="ListParagraph"/>
              <w:numPr>
                <w:ilvl w:val="0"/>
                <w:numId w:val="1"/>
              </w:numPr>
              <w:spacing w:line="360" w:lineRule="auto"/>
              <w:rPr>
                <w:color w:val="FF0000"/>
              </w:rPr>
            </w:pPr>
            <w:r w:rsidRPr="005F6FEE">
              <w:rPr>
                <w:color w:val="FF0000"/>
              </w:rPr>
              <w:t>passports and visas (international travel)</w:t>
            </w:r>
          </w:p>
        </w:tc>
        <w:tc>
          <w:tcPr>
            <w:tcW w:w="567" w:type="dxa"/>
          </w:tcPr>
          <w:p w:rsidR="00841E4C" w:rsidRDefault="00841E4C" w:rsidP="009A5504">
            <w:pPr>
              <w:widowControl w:val="0"/>
              <w:spacing w:after="0" w:line="360" w:lineRule="auto"/>
            </w:pPr>
          </w:p>
        </w:tc>
        <w:tc>
          <w:tcPr>
            <w:tcW w:w="567" w:type="dxa"/>
          </w:tcPr>
          <w:p w:rsidR="00841E4C" w:rsidRDefault="00841E4C" w:rsidP="009A5504">
            <w:pPr>
              <w:widowControl w:val="0"/>
              <w:spacing w:after="0" w:line="360" w:lineRule="auto"/>
            </w:pPr>
          </w:p>
        </w:tc>
        <w:tc>
          <w:tcPr>
            <w:tcW w:w="2268" w:type="dxa"/>
          </w:tcPr>
          <w:p w:rsidR="00841E4C" w:rsidRDefault="00841E4C" w:rsidP="009A5504">
            <w:pPr>
              <w:widowControl w:val="0"/>
              <w:spacing w:after="0" w:line="360" w:lineRule="auto"/>
            </w:pPr>
          </w:p>
        </w:tc>
      </w:tr>
      <w:tr w:rsidR="00841E4C" w:rsidTr="009A5504">
        <w:tc>
          <w:tcPr>
            <w:tcW w:w="2694" w:type="dxa"/>
            <w:shd w:val="clear" w:color="auto" w:fill="E2EFD9" w:themeFill="accent6" w:themeFillTint="33"/>
          </w:tcPr>
          <w:p w:rsidR="00841E4C" w:rsidRDefault="00841E4C" w:rsidP="009A5504">
            <w:pPr>
              <w:widowControl w:val="0"/>
              <w:spacing w:after="0" w:line="360" w:lineRule="auto"/>
            </w:pPr>
            <w:r>
              <w:t>3. What are some examples of legislation which would impact on business travel?</w:t>
            </w:r>
          </w:p>
        </w:tc>
        <w:tc>
          <w:tcPr>
            <w:tcW w:w="3828" w:type="dxa"/>
          </w:tcPr>
          <w:p w:rsidR="00841E4C" w:rsidRPr="005F6FEE" w:rsidRDefault="00841E4C" w:rsidP="009A5504">
            <w:pPr>
              <w:widowControl w:val="0"/>
              <w:spacing w:after="0" w:line="360" w:lineRule="auto"/>
              <w:rPr>
                <w:color w:val="FF0000"/>
              </w:rPr>
            </w:pPr>
            <w:r w:rsidRPr="005F6FEE">
              <w:rPr>
                <w:color w:val="FF0000"/>
              </w:rPr>
              <w:t>Legislation that might affect aspects o</w:t>
            </w:r>
            <w:r>
              <w:rPr>
                <w:color w:val="FF0000"/>
              </w:rPr>
              <w:t>f business travel operations includes:</w:t>
            </w:r>
          </w:p>
          <w:p w:rsidR="00841E4C" w:rsidRPr="005F6FEE" w:rsidRDefault="00841E4C" w:rsidP="00841E4C">
            <w:pPr>
              <w:pStyle w:val="ListParagraph"/>
              <w:numPr>
                <w:ilvl w:val="0"/>
                <w:numId w:val="2"/>
              </w:numPr>
              <w:spacing w:line="360" w:lineRule="auto"/>
              <w:rPr>
                <w:color w:val="FF0000"/>
              </w:rPr>
            </w:pPr>
            <w:r w:rsidRPr="005F6FEE">
              <w:rPr>
                <w:color w:val="FF0000"/>
              </w:rPr>
              <w:t>anti-discrimination legislation</w:t>
            </w:r>
          </w:p>
          <w:p w:rsidR="00841E4C" w:rsidRPr="005F6FEE" w:rsidRDefault="00841E4C" w:rsidP="00841E4C">
            <w:pPr>
              <w:pStyle w:val="ListParagraph"/>
              <w:numPr>
                <w:ilvl w:val="0"/>
                <w:numId w:val="2"/>
              </w:numPr>
              <w:spacing w:line="360" w:lineRule="auto"/>
              <w:rPr>
                <w:color w:val="FF0000"/>
              </w:rPr>
            </w:pPr>
            <w:r w:rsidRPr="005F6FEE">
              <w:rPr>
                <w:color w:val="FF0000"/>
              </w:rPr>
              <w:t>ethical principles</w:t>
            </w:r>
          </w:p>
          <w:p w:rsidR="00841E4C" w:rsidRPr="005F6FEE" w:rsidRDefault="00841E4C" w:rsidP="00841E4C">
            <w:pPr>
              <w:pStyle w:val="ListParagraph"/>
              <w:numPr>
                <w:ilvl w:val="0"/>
                <w:numId w:val="2"/>
              </w:numPr>
              <w:spacing w:line="360" w:lineRule="auto"/>
              <w:rPr>
                <w:color w:val="FF0000"/>
              </w:rPr>
            </w:pPr>
            <w:r w:rsidRPr="005F6FEE">
              <w:rPr>
                <w:color w:val="FF0000"/>
              </w:rPr>
              <w:t>codes of practice</w:t>
            </w:r>
          </w:p>
          <w:p w:rsidR="00841E4C" w:rsidRPr="005F6FEE" w:rsidRDefault="00841E4C" w:rsidP="00841E4C">
            <w:pPr>
              <w:pStyle w:val="ListParagraph"/>
              <w:numPr>
                <w:ilvl w:val="0"/>
                <w:numId w:val="2"/>
              </w:numPr>
              <w:spacing w:line="360" w:lineRule="auto"/>
              <w:rPr>
                <w:color w:val="FF0000"/>
              </w:rPr>
            </w:pPr>
            <w:r w:rsidRPr="005F6FEE">
              <w:rPr>
                <w:color w:val="FF0000"/>
              </w:rPr>
              <w:t>privacy laws</w:t>
            </w:r>
          </w:p>
          <w:p w:rsidR="00841E4C" w:rsidRPr="005F6FEE" w:rsidRDefault="00841E4C" w:rsidP="00841E4C">
            <w:pPr>
              <w:pStyle w:val="ListParagraph"/>
              <w:numPr>
                <w:ilvl w:val="0"/>
                <w:numId w:val="2"/>
              </w:numPr>
              <w:spacing w:line="360" w:lineRule="auto"/>
              <w:rPr>
                <w:color w:val="FF0000"/>
              </w:rPr>
            </w:pPr>
            <w:r w:rsidRPr="005F6FEE">
              <w:rPr>
                <w:color w:val="FF0000"/>
              </w:rPr>
              <w:t>health and safety</w:t>
            </w:r>
          </w:p>
        </w:tc>
        <w:tc>
          <w:tcPr>
            <w:tcW w:w="567" w:type="dxa"/>
          </w:tcPr>
          <w:p w:rsidR="00841E4C" w:rsidRDefault="00841E4C" w:rsidP="009A5504">
            <w:pPr>
              <w:widowControl w:val="0"/>
              <w:spacing w:after="0" w:line="360" w:lineRule="auto"/>
            </w:pPr>
          </w:p>
        </w:tc>
        <w:tc>
          <w:tcPr>
            <w:tcW w:w="567" w:type="dxa"/>
          </w:tcPr>
          <w:p w:rsidR="00841E4C" w:rsidRDefault="00841E4C" w:rsidP="009A5504">
            <w:pPr>
              <w:widowControl w:val="0"/>
              <w:spacing w:after="0" w:line="360" w:lineRule="auto"/>
            </w:pPr>
          </w:p>
        </w:tc>
        <w:tc>
          <w:tcPr>
            <w:tcW w:w="2268" w:type="dxa"/>
          </w:tcPr>
          <w:p w:rsidR="00841E4C" w:rsidRDefault="00841E4C" w:rsidP="009A5504">
            <w:pPr>
              <w:widowControl w:val="0"/>
              <w:spacing w:after="0" w:line="360" w:lineRule="auto"/>
            </w:pPr>
          </w:p>
        </w:tc>
      </w:tr>
    </w:tbl>
    <w:p w:rsidR="00995269" w:rsidRDefault="00995269" w:rsidP="00841E4C">
      <w:pPr>
        <w:widowControl w:val="0"/>
        <w:spacing w:after="0" w:line="360" w:lineRule="auto"/>
      </w:pPr>
    </w:p>
    <w:sectPr w:rsidR="00995269" w:rsidSect="00995269">
      <w:footerReference w:type="default" r:id="rId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5269" w:rsidRDefault="00995269" w:rsidP="00995269">
      <w:pPr>
        <w:spacing w:after="0" w:line="240" w:lineRule="auto"/>
      </w:pPr>
      <w:r>
        <w:separator/>
      </w:r>
    </w:p>
  </w:endnote>
  <w:endnote w:type="continuationSeparator" w:id="0">
    <w:p w:rsidR="00995269" w:rsidRDefault="00995269" w:rsidP="009952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8999806"/>
      <w:docPartObj>
        <w:docPartGallery w:val="Page Numbers (Bottom of Page)"/>
        <w:docPartUnique/>
      </w:docPartObj>
    </w:sdtPr>
    <w:sdtEndPr/>
    <w:sdtContent>
      <w:p w:rsidR="00995269" w:rsidRDefault="00841E4C">
        <w:pPr>
          <w:pStyle w:val="Footer"/>
        </w:pPr>
        <w:r>
          <w:t xml:space="preserve">Assessor Guide - </w:t>
        </w:r>
        <w:r w:rsidR="00995269">
          <w:t xml:space="preserve">Written Questionnaire </w:t>
        </w:r>
        <w:r w:rsidR="00995269">
          <w:tab/>
          <w:t>Version 1</w:t>
        </w:r>
        <w:r w:rsidR="00995269">
          <w:tab/>
          <w:t xml:space="preserve">Page </w:t>
        </w:r>
        <w:r w:rsidR="00995269">
          <w:fldChar w:fldCharType="begin"/>
        </w:r>
        <w:r w:rsidR="00995269">
          <w:instrText xml:space="preserve"> PAGE   \* MERGEFORMAT </w:instrText>
        </w:r>
        <w:r w:rsidR="00995269">
          <w:fldChar w:fldCharType="separate"/>
        </w:r>
        <w:r w:rsidR="003F27A3">
          <w:rPr>
            <w:noProof/>
          </w:rPr>
          <w:t>1</w:t>
        </w:r>
        <w:r w:rsidR="00995269">
          <w:rPr>
            <w:noProof/>
          </w:rPr>
          <w:fldChar w:fldCharType="end"/>
        </w:r>
        <w:r w:rsidR="00995269">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5269" w:rsidRDefault="00995269" w:rsidP="00995269">
      <w:pPr>
        <w:spacing w:after="0" w:line="240" w:lineRule="auto"/>
      </w:pPr>
      <w:r>
        <w:separator/>
      </w:r>
    </w:p>
  </w:footnote>
  <w:footnote w:type="continuationSeparator" w:id="0">
    <w:p w:rsidR="00995269" w:rsidRDefault="00995269" w:rsidP="009952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017BD1"/>
    <w:multiLevelType w:val="hybridMultilevel"/>
    <w:tmpl w:val="A586A1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6E1A19F4"/>
    <w:multiLevelType w:val="hybridMultilevel"/>
    <w:tmpl w:val="B6A0B2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269"/>
    <w:rsid w:val="000563D8"/>
    <w:rsid w:val="001C5B05"/>
    <w:rsid w:val="00350703"/>
    <w:rsid w:val="003F27A3"/>
    <w:rsid w:val="00805BAA"/>
    <w:rsid w:val="00841E4C"/>
    <w:rsid w:val="009952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CEAE0A-762A-434C-996C-5668E262E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5269"/>
    <w:pPr>
      <w:spacing w:after="200" w:line="276" w:lineRule="auto"/>
    </w:pPr>
  </w:style>
  <w:style w:type="paragraph" w:styleId="Heading1">
    <w:name w:val="heading 1"/>
    <w:basedOn w:val="Normal"/>
    <w:link w:val="Heading1Char"/>
    <w:uiPriority w:val="1"/>
    <w:qFormat/>
    <w:rsid w:val="00995269"/>
    <w:pPr>
      <w:spacing w:after="0" w:line="360" w:lineRule="auto"/>
      <w:jc w:val="center"/>
      <w:outlineLvl w:val="0"/>
    </w:pPr>
    <w:rPr>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95269"/>
    <w:rPr>
      <w:b/>
      <w:sz w:val="32"/>
      <w:szCs w:val="32"/>
    </w:rPr>
  </w:style>
  <w:style w:type="table" w:styleId="TableGrid">
    <w:name w:val="Table Grid"/>
    <w:basedOn w:val="TableNormal"/>
    <w:uiPriority w:val="59"/>
    <w:rsid w:val="009952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952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5269"/>
  </w:style>
  <w:style w:type="paragraph" w:styleId="Footer">
    <w:name w:val="footer"/>
    <w:basedOn w:val="Normal"/>
    <w:link w:val="FooterChar"/>
    <w:uiPriority w:val="99"/>
    <w:unhideWhenUsed/>
    <w:rsid w:val="009952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5269"/>
  </w:style>
  <w:style w:type="paragraph" w:styleId="ListParagraph">
    <w:name w:val="List Paragraph"/>
    <w:basedOn w:val="Normal"/>
    <w:link w:val="ListParagraphChar"/>
    <w:uiPriority w:val="34"/>
    <w:qFormat/>
    <w:rsid w:val="00841E4C"/>
    <w:pPr>
      <w:widowControl w:val="0"/>
      <w:spacing w:after="0" w:line="240" w:lineRule="auto"/>
    </w:pPr>
  </w:style>
  <w:style w:type="character" w:customStyle="1" w:styleId="ListParagraphChar">
    <w:name w:val="List Paragraph Char"/>
    <w:basedOn w:val="DefaultParagraphFont"/>
    <w:link w:val="ListParagraph"/>
    <w:uiPriority w:val="34"/>
    <w:rsid w:val="00841E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358</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Assessor</dc:creator>
  <cp:keywords/>
  <dc:description/>
  <cp:lastModifiedBy>Assessor</cp:lastModifiedBy>
  <cp:revision>2</cp:revision>
  <dcterms:created xsi:type="dcterms:W3CDTF">2017-08-08T23:19:00Z</dcterms:created>
  <dcterms:modified xsi:type="dcterms:W3CDTF">2017-08-08T23:19:00Z</dcterms:modified>
</cp:coreProperties>
</file>